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3" w:rsidRPr="00C50053" w:rsidRDefault="00C50053" w:rsidP="00C50053">
      <w:pPr>
        <w:jc w:val="center"/>
        <w:rPr>
          <w:rFonts w:eastAsiaTheme="minorEastAsia"/>
          <w:b/>
          <w:bCs/>
          <w:sz w:val="40"/>
          <w:szCs w:val="40"/>
          <w:u w:val="single"/>
          <w:rtl/>
        </w:rPr>
      </w:pPr>
      <w:r w:rsidRPr="00C50053">
        <w:rPr>
          <w:rFonts w:eastAsiaTheme="minorEastAsia" w:hint="cs"/>
          <w:b/>
          <w:bCs/>
          <w:sz w:val="40"/>
          <w:szCs w:val="40"/>
          <w:u w:val="single"/>
          <w:rtl/>
        </w:rPr>
        <w:t xml:space="preserve">בבא קמא </w:t>
      </w:r>
      <w:r>
        <w:rPr>
          <w:rFonts w:eastAsiaTheme="minorEastAsia" w:hint="cs"/>
          <w:b/>
          <w:bCs/>
          <w:sz w:val="40"/>
          <w:szCs w:val="40"/>
          <w:u w:val="single"/>
          <w:rtl/>
        </w:rPr>
        <w:t>4</w:t>
      </w:r>
    </w:p>
    <w:p w:rsidR="00C50053" w:rsidRPr="00C50053" w:rsidRDefault="00C50053" w:rsidP="00C50053">
      <w:pPr>
        <w:jc w:val="right"/>
        <w:rPr>
          <w:rFonts w:eastAsiaTheme="minorEastAsia"/>
          <w:i/>
          <w:iCs/>
          <w:sz w:val="24"/>
          <w:szCs w:val="24"/>
          <w:u w:val="single"/>
          <w:rtl/>
        </w:rPr>
      </w:pPr>
      <w:r w:rsidRPr="00C50053">
        <w:rPr>
          <w:rFonts w:eastAsiaTheme="minorEastAsia" w:hint="cs"/>
          <w:i/>
          <w:iCs/>
          <w:sz w:val="24"/>
          <w:szCs w:val="24"/>
          <w:u w:val="single"/>
          <w:rtl/>
        </w:rPr>
        <w:t xml:space="preserve"> דף נה עמ' ב- דף נו עמ ב</w:t>
      </w:r>
    </w:p>
    <w:p w:rsidR="00C50053" w:rsidRPr="00C50053" w:rsidRDefault="00C50053" w:rsidP="00C50053">
      <w:pPr>
        <w:jc w:val="center"/>
        <w:rPr>
          <w:rFonts w:eastAsiaTheme="minorEastAsia"/>
          <w:b/>
          <w:bCs/>
          <w:sz w:val="32"/>
          <w:szCs w:val="32"/>
          <w:u w:val="single"/>
          <w:rtl/>
        </w:rPr>
      </w:pPr>
      <w:r w:rsidRPr="00C50053">
        <w:rPr>
          <w:rFonts w:eastAsiaTheme="minorEastAsia" w:hint="cs"/>
          <w:b/>
          <w:bCs/>
          <w:sz w:val="32"/>
          <w:szCs w:val="32"/>
          <w:u w:val="single"/>
          <w:rtl/>
        </w:rPr>
        <w:t>"פטור מדיני אדם וחייב בדיני שמיים":</w:t>
      </w:r>
    </w:p>
    <w:p w:rsidR="00C50053" w:rsidRPr="00C50053" w:rsidRDefault="00C50053" w:rsidP="00C50053">
      <w:pPr>
        <w:jc w:val="right"/>
        <w:rPr>
          <w:rFonts w:eastAsiaTheme="minorEastAsia"/>
          <w:b/>
          <w:bCs/>
          <w:sz w:val="24"/>
          <w:szCs w:val="24"/>
          <w:u w:val="single"/>
          <w:rtl/>
        </w:rPr>
      </w:pPr>
      <w:r w:rsidRPr="00C50053">
        <w:rPr>
          <w:rFonts w:eastAsiaTheme="minorEastAsia" w:hint="cs"/>
          <w:b/>
          <w:bCs/>
          <w:sz w:val="24"/>
          <w:szCs w:val="24"/>
          <w:u w:val="single"/>
          <w:rtl/>
        </w:rPr>
        <w:t>אוצר מילים</w:t>
      </w:r>
      <w:r w:rsidRPr="00C50053">
        <w:rPr>
          <w:rFonts w:eastAsiaTheme="minorEastAsia"/>
          <w:b/>
          <w:bCs/>
          <w:sz w:val="24"/>
          <w:szCs w:val="24"/>
          <w:u w:val="single"/>
          <w:vertAlign w:val="superscript"/>
          <w:rtl/>
        </w:rPr>
        <w:footnoteReference w:id="1"/>
      </w:r>
    </w:p>
    <w:p w:rsidR="00C50053" w:rsidRPr="00C50053" w:rsidRDefault="00C50053" w:rsidP="00C50053">
      <w:pPr>
        <w:jc w:val="right"/>
        <w:rPr>
          <w:rFonts w:eastAsiaTheme="minorEastAsia"/>
          <w:b/>
          <w:bCs/>
          <w:sz w:val="24"/>
          <w:szCs w:val="24"/>
          <w:u w:val="single"/>
          <w:rtl/>
        </w:rPr>
      </w:pPr>
      <w:r w:rsidRPr="00C50053">
        <w:rPr>
          <w:rFonts w:eastAsiaTheme="minorEastAsia" w:hint="cs"/>
          <w:b/>
          <w:bCs/>
          <w:sz w:val="24"/>
          <w:szCs w:val="24"/>
          <w:u w:val="single"/>
          <w:rtl/>
        </w:rPr>
        <w:t>מושגים</w:t>
      </w:r>
      <w:r w:rsidRPr="00C50053">
        <w:rPr>
          <w:rFonts w:eastAsiaTheme="minorEastAsia"/>
          <w:b/>
          <w:bCs/>
          <w:sz w:val="24"/>
          <w:szCs w:val="24"/>
          <w:u w:val="single"/>
          <w:vertAlign w:val="superscript"/>
          <w:rtl/>
        </w:rPr>
        <w:footnoteReference w:id="2"/>
      </w:r>
    </w:p>
    <w:p w:rsidR="00C50053" w:rsidRPr="00C50053" w:rsidRDefault="00C50053" w:rsidP="00C50053">
      <w:pPr>
        <w:rPr>
          <w:u w:val="single"/>
          <w:rtl/>
        </w:rPr>
      </w:pPr>
      <w:r w:rsidRPr="00C50053">
        <w:rPr>
          <w:rFonts w:hint="cs"/>
          <w:u w:val="single"/>
          <w:rtl/>
        </w:rPr>
        <w:t>פרוייקט חברותות אמי"ת מודיעין</w:t>
      </w:r>
    </w:p>
    <w:p w:rsidR="00C50053" w:rsidRDefault="00C50053" w:rsidP="00C50053">
      <w:pPr>
        <w:rPr>
          <w:rtl/>
        </w:rPr>
      </w:pPr>
      <w:r w:rsidRPr="00C50053">
        <w:rPr>
          <w:rFonts w:hint="cs"/>
          <w:b/>
          <w:bCs/>
          <w:rtl/>
        </w:rPr>
        <w:t>יחידה 2-</w:t>
      </w:r>
      <w:r w:rsidRPr="00C50053">
        <w:rPr>
          <w:rFonts w:hint="cs"/>
          <w:rtl/>
        </w:rPr>
        <w:t xml:space="preserve"> ארבעה דברים שהעושה אותם פטור מדיני אדם וחייב בדיני שמיים</w:t>
      </w:r>
    </w:p>
    <w:p w:rsidR="00C50053" w:rsidRDefault="00C50053" w:rsidP="00C50053">
      <w:pPr>
        <w:rPr>
          <w:rtl/>
        </w:rPr>
      </w:pPr>
      <w:r>
        <w:rPr>
          <w:rFonts w:hint="cs"/>
          <w:rtl/>
        </w:rPr>
        <w:t>בדף הקודם למדנו על ארבעת הדברים המופיעים בברייתא שהעושה אותם פטור מדיני אדם וחייב בדיני שמיים.</w:t>
      </w:r>
    </w:p>
    <w:p w:rsidR="00C50053" w:rsidRPr="00C50053" w:rsidRDefault="00C50053" w:rsidP="00C50053">
      <w:pPr>
        <w:rPr>
          <w:rtl/>
        </w:rPr>
      </w:pPr>
      <w:r>
        <w:rPr>
          <w:rFonts w:hint="cs"/>
          <w:rtl/>
        </w:rPr>
        <w:t>הגמרא מקשה על הברייתא:</w:t>
      </w:r>
    </w:p>
    <w:p w:rsidR="00986299" w:rsidRDefault="00C50053" w:rsidP="00C50053">
      <w:pPr>
        <w:pStyle w:val="a6"/>
        <w:numPr>
          <w:ilvl w:val="0"/>
          <w:numId w:val="1"/>
        </w:numPr>
      </w:pPr>
      <w:r>
        <w:rPr>
          <w:rFonts w:hint="cs"/>
          <w:rtl/>
        </w:rPr>
        <w:t>"</w:t>
      </w:r>
      <w:r w:rsidRPr="00C50053">
        <w:rPr>
          <w:rtl/>
        </w:rPr>
        <w:t>ותו ליכא</w:t>
      </w:r>
      <w:r>
        <w:rPr>
          <w:rFonts w:hint="cs"/>
          <w:rtl/>
        </w:rPr>
        <w:t>"</w:t>
      </w:r>
    </w:p>
    <w:p w:rsidR="00C50053" w:rsidRDefault="00C50053" w:rsidP="00C50053">
      <w:pPr>
        <w:pStyle w:val="a6"/>
        <w:rPr>
          <w:rtl/>
        </w:rPr>
      </w:pPr>
      <w:r>
        <w:rPr>
          <w:rFonts w:hint="cs"/>
          <w:rtl/>
        </w:rPr>
        <w:t>א. הסבר מהי קושיית הגמרא</w:t>
      </w:r>
    </w:p>
    <w:p w:rsidR="00C50053" w:rsidRDefault="00C50053">
      <w:r>
        <w:rPr>
          <w:rFonts w:hint="cs"/>
          <w:rtl/>
        </w:rPr>
        <w:t>______________________________________________________________________________________________________________________________________</w:t>
      </w:r>
    </w:p>
    <w:p w:rsidR="00C50053" w:rsidRDefault="00A378CD" w:rsidP="00575A79">
      <w:pPr>
        <w:rPr>
          <w:rtl/>
        </w:rPr>
      </w:pPr>
      <w:r w:rsidRPr="00A378CD">
        <w:rPr>
          <w:rtl/>
        </w:rPr>
        <w:t>והאיכא</w:t>
      </w:r>
      <w:r>
        <w:rPr>
          <w:rFonts w:hint="cs"/>
          <w:rtl/>
        </w:rPr>
        <w:t>:</w:t>
      </w:r>
      <w:r w:rsidRPr="00A378CD">
        <w:rPr>
          <w:rtl/>
        </w:rPr>
        <w:t xml:space="preserve"> (סימן העושה בסם ושליח חבירו נשבר)</w:t>
      </w:r>
      <w:r>
        <w:rPr>
          <w:rFonts w:hint="cs"/>
          <w:rtl/>
        </w:rPr>
        <w:t>*</w:t>
      </w:r>
      <w:r w:rsidRPr="00A378CD">
        <w:rPr>
          <w:rtl/>
        </w:rPr>
        <w:t xml:space="preserve"> </w:t>
      </w:r>
    </w:p>
    <w:p w:rsidR="00575A79" w:rsidRDefault="00A378CD" w:rsidP="00575A79">
      <w:r>
        <w:rPr>
          <w:rFonts w:hint="cs"/>
          <w:rtl/>
        </w:rPr>
        <w:t>(*לפעמים מופיעים בגמרא סוגריים, המילה "סימן" ולאחריה רצף של מילים חסר פשר. אלו בעצם המילים הפותחות של כל הסוגיות הבאות והם מופיעים בתחילת העניין בכדי להקל על הזיכרון של כל המקורות שהן בעצם פרטים של סוגיה אחת ארוכה.)</w:t>
      </w:r>
    </w:p>
    <w:p w:rsidR="00A378CD" w:rsidRDefault="00575A79" w:rsidP="00575A79">
      <w:pPr>
        <w:ind w:left="720"/>
        <w:rPr>
          <w:rtl/>
        </w:rPr>
      </w:pPr>
      <w:r>
        <w:rPr>
          <w:rFonts w:hint="cs"/>
          <w:rtl/>
        </w:rPr>
        <w:t>ב. "</w:t>
      </w:r>
      <w:r w:rsidRPr="00575A79">
        <w:rPr>
          <w:rtl/>
        </w:rPr>
        <w:t>העושה מלאכה במי חטאת ובפרת חטאת פטור מדיני אדם וחייב בדיני שמים</w:t>
      </w:r>
      <w:r>
        <w:rPr>
          <w:rFonts w:hint="cs"/>
          <w:rtl/>
        </w:rPr>
        <w:t>"</w:t>
      </w:r>
    </w:p>
    <w:p w:rsidR="00575A79" w:rsidRDefault="0085601B" w:rsidP="00575A79">
      <w:pPr>
        <w:ind w:left="720"/>
        <w:rPr>
          <w:rtl/>
        </w:rPr>
      </w:pPr>
      <w:r>
        <w:rPr>
          <w:rFonts w:hint="cs"/>
          <w:rtl/>
        </w:rPr>
        <w:t>מה האיסור עליו הוא עובר? העזר ברש"י ותוספות</w:t>
      </w:r>
    </w:p>
    <w:p w:rsidR="0085601B" w:rsidRDefault="0085601B" w:rsidP="0085601B">
      <w:pPr>
        <w:rPr>
          <w:rtl/>
        </w:rPr>
      </w:pPr>
      <w:r>
        <w:rPr>
          <w:rFonts w:hint="cs"/>
          <w:rtl/>
        </w:rPr>
        <w:t>______________________________________________________________________________________________________________________________________</w:t>
      </w:r>
    </w:p>
    <w:p w:rsidR="00575A79" w:rsidRDefault="0085601B" w:rsidP="00A243B2">
      <w:pPr>
        <w:ind w:left="720"/>
        <w:rPr>
          <w:rtl/>
        </w:rPr>
      </w:pPr>
      <w:r>
        <w:rPr>
          <w:rFonts w:hint="cs"/>
          <w:rtl/>
        </w:rPr>
        <w:t>ג. "</w:t>
      </w:r>
      <w:r w:rsidRPr="0085601B">
        <w:rPr>
          <w:rtl/>
        </w:rPr>
        <w:t>והאיכא הנותן סם המות בפני בהמת חבירו פטור מדיני אדם וחייב בדיני שמים</w:t>
      </w:r>
      <w:r>
        <w:rPr>
          <w:rFonts w:hint="cs"/>
          <w:rtl/>
        </w:rPr>
        <w:t>"</w:t>
      </w:r>
    </w:p>
    <w:p w:rsidR="0085601B" w:rsidRDefault="00F22EC6" w:rsidP="00A243B2">
      <w:pPr>
        <w:ind w:left="720"/>
        <w:rPr>
          <w:rtl/>
        </w:rPr>
      </w:pPr>
      <w:r>
        <w:rPr>
          <w:rFonts w:hint="cs"/>
          <w:rtl/>
        </w:rPr>
        <w:t>מהי הסיבה שיהיה המזיק פטור מדיני אדם?</w:t>
      </w:r>
    </w:p>
    <w:p w:rsidR="00F22EC6" w:rsidRDefault="00F22EC6" w:rsidP="0085601B">
      <w:pPr>
        <w:rPr>
          <w:rtl/>
        </w:rPr>
      </w:pPr>
      <w:r>
        <w:rPr>
          <w:rFonts w:hint="cs"/>
          <w:rtl/>
        </w:rPr>
        <w:t>___________________________________________________________________</w:t>
      </w:r>
    </w:p>
    <w:p w:rsidR="00F22EC6" w:rsidRDefault="00F22EC6" w:rsidP="00A243B2">
      <w:pPr>
        <w:ind w:left="720"/>
        <w:rPr>
          <w:rtl/>
        </w:rPr>
      </w:pPr>
      <w:r>
        <w:rPr>
          <w:rFonts w:hint="cs"/>
          <w:rtl/>
        </w:rPr>
        <w:t>ד. "</w:t>
      </w:r>
      <w:r w:rsidRPr="00F22EC6">
        <w:rPr>
          <w:rtl/>
        </w:rPr>
        <w:t>והאיכא השולח את הבערה ביד חרש שוטה וקטן פטור מדיני אדם וחייב בדיני שמים</w:t>
      </w:r>
      <w:r>
        <w:rPr>
          <w:rFonts w:hint="cs"/>
          <w:rtl/>
        </w:rPr>
        <w:t>"</w:t>
      </w:r>
    </w:p>
    <w:p w:rsidR="00F22EC6" w:rsidRDefault="00A243B2" w:rsidP="00A243B2">
      <w:pPr>
        <w:ind w:left="720"/>
        <w:rPr>
          <w:rtl/>
        </w:rPr>
      </w:pPr>
      <w:r>
        <w:rPr>
          <w:rFonts w:hint="cs"/>
          <w:rtl/>
        </w:rPr>
        <w:t>מדוע לדעתכם הוא פטור מדיני אדם? (אנחנו נלמד סוגייה זו בהמשך המ</w:t>
      </w:r>
      <w:r w:rsidR="00CB1F36">
        <w:rPr>
          <w:rFonts w:hint="cs"/>
          <w:rtl/>
        </w:rPr>
        <w:t>ס</w:t>
      </w:r>
      <w:r>
        <w:rPr>
          <w:rFonts w:hint="cs"/>
          <w:rtl/>
        </w:rPr>
        <w:t>כת ולא נתעכב אליה עכשיו)</w:t>
      </w:r>
    </w:p>
    <w:p w:rsidR="00A243B2" w:rsidRDefault="00A243B2" w:rsidP="00F22EC6">
      <w:r>
        <w:rPr>
          <w:rFonts w:hint="cs"/>
          <w:rtl/>
        </w:rPr>
        <w:lastRenderedPageBreak/>
        <w:t>______________________________________________________________________________________________________________________________________</w:t>
      </w:r>
    </w:p>
    <w:p w:rsidR="00A243B2" w:rsidRDefault="005B3D51" w:rsidP="00F11E44">
      <w:pPr>
        <w:ind w:left="720"/>
        <w:rPr>
          <w:rtl/>
        </w:rPr>
      </w:pPr>
      <w:r>
        <w:rPr>
          <w:rFonts w:hint="cs"/>
          <w:rtl/>
        </w:rPr>
        <w:t xml:space="preserve">ה. </w:t>
      </w:r>
      <w:r w:rsidR="00A243B2">
        <w:rPr>
          <w:rFonts w:hint="cs"/>
          <w:rtl/>
        </w:rPr>
        <w:t>"</w:t>
      </w:r>
      <w:r w:rsidR="00A243B2" w:rsidRPr="00A243B2">
        <w:rPr>
          <w:rtl/>
        </w:rPr>
        <w:t>והאיכא המבעית את חבירו פטור מדיני אדם וחייב בדיני שמים</w:t>
      </w:r>
      <w:r w:rsidR="00A243B2">
        <w:rPr>
          <w:rFonts w:hint="cs"/>
          <w:rtl/>
        </w:rPr>
        <w:t>"</w:t>
      </w:r>
    </w:p>
    <w:p w:rsidR="005B3D51" w:rsidRDefault="005B3D51" w:rsidP="005B3D51">
      <w:pPr>
        <w:rPr>
          <w:rtl/>
        </w:rPr>
      </w:pPr>
      <w:r>
        <w:rPr>
          <w:rFonts w:hint="cs"/>
          <w:rtl/>
        </w:rPr>
        <w:t>קרא את הגמרא בדף צא.</w:t>
      </w:r>
      <w:r w:rsidR="00FE26DF">
        <w:rPr>
          <w:rFonts w:hint="cs"/>
          <w:rtl/>
        </w:rPr>
        <w:t xml:space="preserve"> ואת התוספות</w:t>
      </w:r>
    </w:p>
    <w:p w:rsidR="00A243B2" w:rsidRDefault="005B3D51" w:rsidP="005B3D51">
      <w:pPr>
        <w:rPr>
          <w:rtl/>
        </w:rPr>
      </w:pPr>
      <w:r>
        <w:rPr>
          <w:rFonts w:hint="cs"/>
          <w:rtl/>
        </w:rPr>
        <w:t>"</w:t>
      </w:r>
      <w:r w:rsidRPr="005B3D51">
        <w:rPr>
          <w:rtl/>
        </w:rPr>
        <w:t>משום דאמרינן הוא דאבעית נפשיה</w:t>
      </w:r>
      <w:r>
        <w:rPr>
          <w:rFonts w:hint="cs"/>
          <w:rtl/>
        </w:rPr>
        <w:t xml:space="preserve"> (הפחיד את עצמו)</w:t>
      </w:r>
      <w:r w:rsidRPr="005B3D51">
        <w:rPr>
          <w:rtl/>
        </w:rPr>
        <w:t xml:space="preserve"> כדתניא המבעית את חבירו פטור מדיני אדם וחייב בדיני שמים כיצד תקע באזנו וחירשו פטור אחזו ותקע באזנו וחירשו חייב</w:t>
      </w:r>
      <w:r>
        <w:rPr>
          <w:rFonts w:hint="cs"/>
          <w:rtl/>
        </w:rPr>
        <w:t>"</w:t>
      </w:r>
    </w:p>
    <w:p w:rsidR="00FE26DF" w:rsidRDefault="00FE26DF" w:rsidP="00FE26DF">
      <w:pPr>
        <w:rPr>
          <w:rtl/>
        </w:rPr>
      </w:pPr>
      <w:r w:rsidRPr="00FE26DF">
        <w:rPr>
          <w:rFonts w:hint="cs"/>
          <w:b/>
          <w:bCs/>
          <w:rtl/>
        </w:rPr>
        <w:t>תוספות</w:t>
      </w:r>
      <w:r>
        <w:rPr>
          <w:rFonts w:hint="cs"/>
          <w:rtl/>
        </w:rPr>
        <w:t>:</w:t>
      </w:r>
      <w:r w:rsidRPr="00FE26DF">
        <w:rPr>
          <w:color w:val="000000"/>
          <w:sz w:val="30"/>
          <w:szCs w:val="30"/>
          <w:rtl/>
        </w:rPr>
        <w:t xml:space="preserve"> </w:t>
      </w:r>
      <w:r>
        <w:rPr>
          <w:rFonts w:hint="cs"/>
          <w:rtl/>
        </w:rPr>
        <w:t>"</w:t>
      </w:r>
      <w:r w:rsidRPr="00FE26DF">
        <w:rPr>
          <w:rtl/>
        </w:rPr>
        <w:t>הכהו כנגד אזנו ועינו לא יצא בן חורין שנאמר והכה עד שיעשה בו מעשה משמע דטעם משום גזירת הכתוב היא ולא משום דאיבעית אנפשיה</w:t>
      </w:r>
      <w:r>
        <w:rPr>
          <w:rFonts w:hint="cs"/>
          <w:rtl/>
        </w:rPr>
        <w:t>"</w:t>
      </w:r>
    </w:p>
    <w:p w:rsidR="005B3D51" w:rsidRDefault="005B3D51" w:rsidP="00F11E44">
      <w:pPr>
        <w:ind w:left="720"/>
        <w:rPr>
          <w:rtl/>
        </w:rPr>
      </w:pPr>
      <w:r>
        <w:rPr>
          <w:rFonts w:hint="cs"/>
          <w:rtl/>
        </w:rPr>
        <w:t>מדוע לפי הגמרא בדף צא. פטור התוקע מדיני אדם? (ניתן להביא שני הסברים)</w:t>
      </w:r>
    </w:p>
    <w:p w:rsidR="005B3D51" w:rsidRDefault="005B3D51" w:rsidP="005B3D51">
      <w:pPr>
        <w:rPr>
          <w:rtl/>
        </w:rPr>
      </w:pPr>
      <w:r>
        <w:rPr>
          <w:rFonts w:hint="cs"/>
          <w:rtl/>
        </w:rPr>
        <w:t>______________________________________________________________________________________________________________________________________</w:t>
      </w:r>
    </w:p>
    <w:p w:rsidR="005B3D51" w:rsidRDefault="005B3D51" w:rsidP="00F11E44">
      <w:pPr>
        <w:ind w:left="720"/>
        <w:rPr>
          <w:rtl/>
        </w:rPr>
      </w:pPr>
      <w:r>
        <w:rPr>
          <w:rFonts w:hint="cs"/>
          <w:rtl/>
        </w:rPr>
        <w:t>ו. "</w:t>
      </w:r>
      <w:r w:rsidRPr="005B3D51">
        <w:rPr>
          <w:rtl/>
        </w:rPr>
        <w:t>והאיכא נשברה כדו ברה''ר ולא סלקה נפלה גמלו ולא העמידה ר''מ מחייב בהזיקן וחכ''א פטור בדיני אדם וחייב בדיני שמים</w:t>
      </w:r>
      <w:r>
        <w:rPr>
          <w:rFonts w:hint="cs"/>
          <w:rtl/>
        </w:rPr>
        <w:t>"</w:t>
      </w:r>
    </w:p>
    <w:p w:rsidR="00F11E44" w:rsidRDefault="00F11E44" w:rsidP="00F11E44">
      <w:pPr>
        <w:ind w:left="720"/>
        <w:rPr>
          <w:rtl/>
        </w:rPr>
      </w:pPr>
      <w:r>
        <w:rPr>
          <w:rFonts w:hint="cs"/>
          <w:rtl/>
        </w:rPr>
        <w:t>כתוב בלשונך מהו המקרה עליו מחייב ר' מאיר וכתוב על פי רש"י במה הוא חולק על חכמים.</w:t>
      </w:r>
    </w:p>
    <w:p w:rsidR="00F11E44" w:rsidRDefault="00F11E44" w:rsidP="00F11E44">
      <w:pPr>
        <w:rPr>
          <w:rtl/>
        </w:rPr>
      </w:pPr>
      <w:r>
        <w:rPr>
          <w:rFonts w:hint="cs"/>
          <w:rtl/>
        </w:rPr>
        <w:t>_________________________________________________________________________________________________________________________________________________________________________________________________________</w:t>
      </w:r>
    </w:p>
    <w:p w:rsidR="00F11E44" w:rsidRDefault="00AD522F" w:rsidP="00AD522F">
      <w:pPr>
        <w:pStyle w:val="a6"/>
        <w:numPr>
          <w:ilvl w:val="0"/>
          <w:numId w:val="1"/>
        </w:numPr>
      </w:pPr>
      <w:r>
        <w:rPr>
          <w:rFonts w:hint="cs"/>
          <w:rtl/>
        </w:rPr>
        <w:t>"</w:t>
      </w:r>
      <w:r w:rsidRPr="00AD522F">
        <w:rPr>
          <w:rtl/>
        </w:rPr>
        <w:t>אין מיהא איכא טובא</w:t>
      </w:r>
      <w:r>
        <w:rPr>
          <w:rFonts w:hint="cs"/>
          <w:rtl/>
        </w:rPr>
        <w:t>"</w:t>
      </w:r>
    </w:p>
    <w:p w:rsidR="00AD522F" w:rsidRDefault="00AD522F" w:rsidP="00AD522F">
      <w:pPr>
        <w:pStyle w:val="a6"/>
        <w:rPr>
          <w:rtl/>
        </w:rPr>
      </w:pPr>
      <w:r>
        <w:rPr>
          <w:rFonts w:hint="cs"/>
          <w:rtl/>
        </w:rPr>
        <w:t>א. על מה מוסבים דברי הגמרא? ב. על איזו שאלה היא עונה? ג. ומהי תשובתה?</w:t>
      </w:r>
    </w:p>
    <w:p w:rsidR="00AD522F" w:rsidRDefault="00AD522F" w:rsidP="00AD522F">
      <w:pPr>
        <w:rPr>
          <w:rtl/>
        </w:rPr>
      </w:pPr>
      <w:r>
        <w:rPr>
          <w:rFonts w:hint="cs"/>
          <w:rtl/>
        </w:rPr>
        <w:t>_________________________________________________________________________________________________________________________________________________________________________________________________________</w:t>
      </w:r>
    </w:p>
    <w:p w:rsidR="00AD522F" w:rsidRDefault="00AD522F" w:rsidP="00AD522F">
      <w:pPr>
        <w:rPr>
          <w:rtl/>
        </w:rPr>
      </w:pPr>
      <w:r>
        <w:rPr>
          <w:rFonts w:hint="cs"/>
          <w:rtl/>
        </w:rPr>
        <w:t>ד. "</w:t>
      </w:r>
      <w:r w:rsidRPr="00AD522F">
        <w:rPr>
          <w:rtl/>
        </w:rPr>
        <w:t>והני אצטריכא ליה מהו דתימא בדיני שמים נמי לא ליחייב קמ''ל</w:t>
      </w:r>
      <w:r>
        <w:rPr>
          <w:rFonts w:hint="cs"/>
          <w:rtl/>
        </w:rPr>
        <w:t>"</w:t>
      </w:r>
    </w:p>
    <w:p w:rsidR="00AD522F" w:rsidRDefault="00AD522F" w:rsidP="00AD522F">
      <w:pPr>
        <w:rPr>
          <w:rtl/>
        </w:rPr>
      </w:pPr>
      <w:r>
        <w:rPr>
          <w:rFonts w:hint="cs"/>
          <w:rtl/>
        </w:rPr>
        <w:t>הסבר בלשונך את דברי הגמרא כאן</w:t>
      </w:r>
    </w:p>
    <w:p w:rsidR="00AD522F" w:rsidRDefault="00AD522F" w:rsidP="00AD522F">
      <w:pPr>
        <w:rPr>
          <w:rtl/>
        </w:rPr>
      </w:pPr>
      <w:r>
        <w:rPr>
          <w:rFonts w:hint="cs"/>
          <w:rtl/>
        </w:rPr>
        <w:t>______________________________________________________________________________________________________________________________________</w:t>
      </w:r>
    </w:p>
    <w:p w:rsidR="00CB5AD3" w:rsidRDefault="00CB5AD3" w:rsidP="00AD522F">
      <w:pPr>
        <w:rPr>
          <w:rtl/>
        </w:rPr>
      </w:pPr>
    </w:p>
    <w:p w:rsidR="00CB5AD3" w:rsidRDefault="00CB5AD3" w:rsidP="00AD522F">
      <w:pPr>
        <w:rPr>
          <w:rtl/>
        </w:rPr>
      </w:pPr>
    </w:p>
    <w:p w:rsidR="00CB5AD3" w:rsidRDefault="00CB5AD3" w:rsidP="00AD522F">
      <w:pPr>
        <w:rPr>
          <w:rtl/>
        </w:rPr>
      </w:pPr>
    </w:p>
    <w:p w:rsidR="00CB5AD3" w:rsidRDefault="00CB5AD3" w:rsidP="00AD522F">
      <w:pPr>
        <w:rPr>
          <w:rtl/>
        </w:rPr>
      </w:pPr>
    </w:p>
    <w:p w:rsidR="00CB5AD3" w:rsidRDefault="00CB5AD3" w:rsidP="00AD522F">
      <w:pPr>
        <w:rPr>
          <w:rtl/>
        </w:rPr>
      </w:pPr>
    </w:p>
    <w:p w:rsidR="00CB5AD3" w:rsidRDefault="00CB5AD3" w:rsidP="00AD522F">
      <w:pPr>
        <w:rPr>
          <w:rtl/>
        </w:rPr>
      </w:pPr>
    </w:p>
    <w:p w:rsidR="00CB5AD3" w:rsidRDefault="00CB5AD3" w:rsidP="00AD522F">
      <w:pPr>
        <w:rPr>
          <w:rtl/>
        </w:rPr>
      </w:pPr>
    </w:p>
    <w:p w:rsidR="00CB5AD3" w:rsidRDefault="00CB5AD3" w:rsidP="00AD522F">
      <w:pPr>
        <w:rPr>
          <w:rtl/>
        </w:rPr>
      </w:pPr>
    </w:p>
    <w:p w:rsidR="00AD522F" w:rsidRDefault="00AD522F" w:rsidP="00AD522F">
      <w:pPr>
        <w:pStyle w:val="a6"/>
        <w:numPr>
          <w:ilvl w:val="0"/>
          <w:numId w:val="1"/>
        </w:numPr>
      </w:pPr>
      <w:r>
        <w:rPr>
          <w:rFonts w:hint="cs"/>
          <w:rtl/>
        </w:rPr>
        <w:t>הגמרא חוזרת עכשיו להראות מדוע כל אחת מהדוגמאות שהובאו בברי</w:t>
      </w:r>
      <w:r w:rsidR="00CB5AD3">
        <w:rPr>
          <w:rFonts w:hint="cs"/>
          <w:rtl/>
        </w:rPr>
        <w:t>י</w:t>
      </w:r>
      <w:r>
        <w:rPr>
          <w:rFonts w:hint="cs"/>
          <w:rtl/>
        </w:rPr>
        <w:t>תא בעמוד הקודם היו צריכות להיכתב במיוחד</w:t>
      </w:r>
      <w:r w:rsidR="00CB5AD3">
        <w:rPr>
          <w:rFonts w:hint="cs"/>
          <w:rtl/>
        </w:rPr>
        <w:t>.</w:t>
      </w:r>
    </w:p>
    <w:p w:rsidR="00CB5AD3" w:rsidRDefault="00CB5AD3" w:rsidP="00CB5AD3">
      <w:pPr>
        <w:pStyle w:val="a6"/>
      </w:pPr>
      <w:r>
        <w:rPr>
          <w:rFonts w:hint="cs"/>
          <w:rtl/>
        </w:rPr>
        <w:t>בטבלה הבאה כתובים כל המקרים שהובאו בבריתא, כתוב בכל אחד מהם מדוע היה צורך לכותבו במפורש</w:t>
      </w:r>
    </w:p>
    <w:tbl>
      <w:tblPr>
        <w:tblStyle w:val="a7"/>
        <w:tblpPr w:leftFromText="180" w:rightFromText="180" w:vertAnchor="text" w:tblpY="1"/>
        <w:tblOverlap w:val="never"/>
        <w:bidiVisual/>
        <w:tblW w:w="0" w:type="auto"/>
        <w:tblLook w:val="04A0" w:firstRow="1" w:lastRow="0" w:firstColumn="1" w:lastColumn="0" w:noHBand="0" w:noVBand="1"/>
      </w:tblPr>
      <w:tblGrid>
        <w:gridCol w:w="4261"/>
        <w:gridCol w:w="4261"/>
      </w:tblGrid>
      <w:tr w:rsidR="00CB5AD3" w:rsidTr="00CB5AD3">
        <w:tc>
          <w:tcPr>
            <w:tcW w:w="4261" w:type="dxa"/>
            <w:tcBorders>
              <w:top w:val="single" w:sz="18" w:space="0" w:color="auto"/>
              <w:left w:val="single" w:sz="18" w:space="0" w:color="auto"/>
              <w:bottom w:val="single" w:sz="18" w:space="0" w:color="auto"/>
              <w:right w:val="single" w:sz="18" w:space="0" w:color="auto"/>
            </w:tcBorders>
          </w:tcPr>
          <w:p w:rsidR="00CB5AD3" w:rsidRDefault="00CB5AD3" w:rsidP="00CB5AD3">
            <w:pPr>
              <w:pStyle w:val="a6"/>
              <w:tabs>
                <w:tab w:val="left" w:pos="1870"/>
              </w:tabs>
              <w:ind w:left="0"/>
              <w:rPr>
                <w:rtl/>
              </w:rPr>
            </w:pPr>
            <w:r>
              <w:rPr>
                <w:rFonts w:hint="cs"/>
                <w:rtl/>
              </w:rPr>
              <w:t>המקרה בבריתא</w:t>
            </w:r>
            <w:r>
              <w:rPr>
                <w:rtl/>
              </w:rPr>
              <w:tab/>
            </w:r>
          </w:p>
        </w:tc>
        <w:tc>
          <w:tcPr>
            <w:tcW w:w="4261" w:type="dxa"/>
            <w:tcBorders>
              <w:top w:val="single" w:sz="18" w:space="0" w:color="auto"/>
              <w:left w:val="single" w:sz="18" w:space="0" w:color="auto"/>
              <w:bottom w:val="single" w:sz="18" w:space="0" w:color="auto"/>
              <w:right w:val="single" w:sz="18" w:space="0" w:color="auto"/>
            </w:tcBorders>
          </w:tcPr>
          <w:p w:rsidR="00CB5AD3" w:rsidRDefault="00CB5AD3" w:rsidP="00CB5AD3">
            <w:pPr>
              <w:pStyle w:val="a6"/>
              <w:ind w:left="0"/>
              <w:rPr>
                <w:rtl/>
              </w:rPr>
            </w:pPr>
            <w:r>
              <w:rPr>
                <w:rFonts w:hint="cs"/>
                <w:rtl/>
              </w:rPr>
              <w:t>מדוע נצרך לכתבו במפורש בבריתא</w:t>
            </w:r>
          </w:p>
        </w:tc>
      </w:tr>
      <w:tr w:rsidR="00CB5AD3" w:rsidTr="00CB5AD3">
        <w:tc>
          <w:tcPr>
            <w:tcW w:w="4261" w:type="dxa"/>
            <w:tcBorders>
              <w:top w:val="single" w:sz="18" w:space="0" w:color="auto"/>
            </w:tcBorders>
          </w:tcPr>
          <w:p w:rsidR="00CB5AD3" w:rsidRDefault="00CB5AD3" w:rsidP="00CB5AD3">
            <w:pPr>
              <w:pStyle w:val="a6"/>
              <w:ind w:left="0"/>
              <w:rPr>
                <w:rtl/>
              </w:rPr>
            </w:pPr>
            <w:r w:rsidRPr="00CB5AD3">
              <w:rPr>
                <w:rtl/>
              </w:rPr>
              <w:t>הפורץ גדר בפני בהמת חבירו מהו דתימא כיון דלמסתריה קאי מה עביד בדיני שמים נמי לא ליחייב קמ''ל</w:t>
            </w:r>
          </w:p>
          <w:p w:rsidR="00CB5AD3" w:rsidRDefault="00CB5AD3" w:rsidP="00CB5AD3">
            <w:pPr>
              <w:pStyle w:val="a6"/>
              <w:ind w:left="0"/>
              <w:rPr>
                <w:rtl/>
              </w:rPr>
            </w:pPr>
          </w:p>
        </w:tc>
        <w:tc>
          <w:tcPr>
            <w:tcW w:w="4261" w:type="dxa"/>
            <w:tcBorders>
              <w:top w:val="single" w:sz="18" w:space="0" w:color="auto"/>
            </w:tcBorders>
          </w:tcPr>
          <w:p w:rsidR="00CB5AD3" w:rsidRDefault="00CB5AD3" w:rsidP="00CB5AD3">
            <w:pPr>
              <w:pStyle w:val="a6"/>
              <w:ind w:left="0"/>
              <w:rPr>
                <w:rtl/>
              </w:rPr>
            </w:pPr>
          </w:p>
        </w:tc>
      </w:tr>
      <w:tr w:rsidR="00CB5AD3" w:rsidTr="00CB5AD3">
        <w:tc>
          <w:tcPr>
            <w:tcW w:w="4261" w:type="dxa"/>
          </w:tcPr>
          <w:p w:rsidR="00CB5AD3" w:rsidRDefault="00CB5AD3" w:rsidP="00CB5AD3">
            <w:pPr>
              <w:pStyle w:val="a6"/>
              <w:ind w:left="0"/>
              <w:rPr>
                <w:rtl/>
              </w:rPr>
            </w:pPr>
            <w:r w:rsidRPr="00CB5AD3">
              <w:rPr>
                <w:rtl/>
              </w:rPr>
              <w:t>הכופף קמתו של חבירו נמי מהו דתימא לימא מי הוה ידענא דאתיא רוח שאינה מצויה ובדיני שמים נמי לא ליחייב קמ''ל</w:t>
            </w:r>
          </w:p>
          <w:p w:rsidR="00CB5AD3" w:rsidRDefault="00CB5AD3" w:rsidP="00CB5AD3">
            <w:pPr>
              <w:pStyle w:val="a6"/>
              <w:ind w:left="0"/>
              <w:rPr>
                <w:rtl/>
              </w:rPr>
            </w:pPr>
          </w:p>
        </w:tc>
        <w:tc>
          <w:tcPr>
            <w:tcW w:w="4261" w:type="dxa"/>
          </w:tcPr>
          <w:p w:rsidR="00CB5AD3" w:rsidRDefault="00CB5AD3" w:rsidP="00CB5AD3">
            <w:pPr>
              <w:pStyle w:val="a6"/>
              <w:ind w:left="0"/>
              <w:rPr>
                <w:rtl/>
              </w:rPr>
            </w:pPr>
          </w:p>
        </w:tc>
      </w:tr>
      <w:tr w:rsidR="00CB5AD3" w:rsidTr="00CB5AD3">
        <w:tc>
          <w:tcPr>
            <w:tcW w:w="4261" w:type="dxa"/>
          </w:tcPr>
          <w:p w:rsidR="00CB5AD3" w:rsidRDefault="00CB5AD3" w:rsidP="00CB5AD3">
            <w:pPr>
              <w:pStyle w:val="a6"/>
              <w:ind w:left="0"/>
              <w:rPr>
                <w:rtl/>
              </w:rPr>
            </w:pPr>
            <w:r w:rsidRPr="00CB5AD3">
              <w:rPr>
                <w:rtl/>
              </w:rPr>
              <w:t>ולרב אשי דאמר נמי טמון איתמר מהו דתימא אנא כסויי כסיתיה ניהלך ובדיני שמים נמי לא ליחייב קמ''ל</w:t>
            </w:r>
          </w:p>
          <w:p w:rsidR="00CB5AD3" w:rsidRDefault="00CB5AD3" w:rsidP="00CB5AD3">
            <w:pPr>
              <w:pStyle w:val="a6"/>
              <w:ind w:left="0"/>
              <w:rPr>
                <w:rtl/>
              </w:rPr>
            </w:pPr>
          </w:p>
        </w:tc>
        <w:tc>
          <w:tcPr>
            <w:tcW w:w="4261" w:type="dxa"/>
          </w:tcPr>
          <w:p w:rsidR="00CB5AD3" w:rsidRDefault="00CB5AD3" w:rsidP="00CB5AD3">
            <w:pPr>
              <w:pStyle w:val="a6"/>
              <w:ind w:left="0"/>
              <w:rPr>
                <w:rtl/>
              </w:rPr>
            </w:pPr>
          </w:p>
        </w:tc>
      </w:tr>
      <w:tr w:rsidR="00CB5AD3" w:rsidTr="00CB5AD3">
        <w:tc>
          <w:tcPr>
            <w:tcW w:w="4261" w:type="dxa"/>
          </w:tcPr>
          <w:p w:rsidR="00CB5AD3" w:rsidRDefault="00CB5AD3" w:rsidP="00CB5AD3">
            <w:pPr>
              <w:pStyle w:val="a6"/>
              <w:ind w:left="0"/>
              <w:rPr>
                <w:rtl/>
              </w:rPr>
            </w:pPr>
            <w:r w:rsidRPr="00CB5AD3">
              <w:rPr>
                <w:rtl/>
              </w:rPr>
              <w:t>והשוכר עדי שקר נמי מהו דתימא לימא דברי הרב ודברי התלמיד דברי מי שומעין ובדיני שמים נמי לא ליחייב קמ''ל</w:t>
            </w:r>
          </w:p>
          <w:p w:rsidR="00CB5AD3" w:rsidRDefault="00CB5AD3" w:rsidP="00CB5AD3">
            <w:pPr>
              <w:pStyle w:val="a6"/>
              <w:ind w:left="0"/>
              <w:rPr>
                <w:rtl/>
              </w:rPr>
            </w:pPr>
          </w:p>
        </w:tc>
        <w:tc>
          <w:tcPr>
            <w:tcW w:w="4261" w:type="dxa"/>
          </w:tcPr>
          <w:p w:rsidR="00CB5AD3" w:rsidRDefault="00CB5AD3" w:rsidP="00CB5AD3">
            <w:pPr>
              <w:pStyle w:val="a6"/>
              <w:ind w:left="0"/>
              <w:rPr>
                <w:rtl/>
              </w:rPr>
            </w:pPr>
          </w:p>
        </w:tc>
      </w:tr>
      <w:tr w:rsidR="00CB5AD3" w:rsidTr="00CB5AD3">
        <w:tc>
          <w:tcPr>
            <w:tcW w:w="4261" w:type="dxa"/>
          </w:tcPr>
          <w:p w:rsidR="00CB5AD3" w:rsidRDefault="00CB5AD3" w:rsidP="00CB5AD3">
            <w:pPr>
              <w:pStyle w:val="a6"/>
              <w:ind w:left="0"/>
              <w:rPr>
                <w:rtl/>
              </w:rPr>
            </w:pPr>
            <w:r w:rsidRPr="00CB5AD3">
              <w:rPr>
                <w:rtl/>
              </w:rPr>
              <w:t xml:space="preserve">והיודע עדות לחבירו ואינו מעיד לו נמי </w:t>
            </w:r>
            <w:r>
              <w:rPr>
                <w:rtl/>
              </w:rPr>
              <w:t xml:space="preserve">מהו דתימא מי יימר דכי הוה </w:t>
            </w:r>
            <w:r w:rsidRPr="00CB5AD3">
              <w:rPr>
                <w:rtl/>
              </w:rPr>
              <w:t>מסהדינא ליה הוה מודה דלמא הוה משתבע לשקרא ובדיני שמים נמי לא ליחייב קמ''ל</w:t>
            </w:r>
          </w:p>
          <w:p w:rsidR="00CB5AD3" w:rsidRDefault="00CB5AD3" w:rsidP="00CB5AD3">
            <w:pPr>
              <w:pStyle w:val="a6"/>
              <w:ind w:left="0"/>
              <w:rPr>
                <w:rtl/>
              </w:rPr>
            </w:pPr>
          </w:p>
        </w:tc>
        <w:tc>
          <w:tcPr>
            <w:tcW w:w="4261" w:type="dxa"/>
          </w:tcPr>
          <w:p w:rsidR="00CB5AD3" w:rsidRDefault="00CB5AD3" w:rsidP="00CB5AD3">
            <w:pPr>
              <w:pStyle w:val="a6"/>
              <w:ind w:left="0"/>
              <w:rPr>
                <w:rtl/>
              </w:rPr>
            </w:pPr>
          </w:p>
        </w:tc>
      </w:tr>
    </w:tbl>
    <w:p w:rsidR="00CB5AD3" w:rsidRDefault="00CB5AD3" w:rsidP="00CB5AD3">
      <w:pPr>
        <w:pStyle w:val="a6"/>
        <w:rPr>
          <w:rtl/>
        </w:rPr>
      </w:pPr>
      <w:r>
        <w:rPr>
          <w:rtl/>
        </w:rPr>
        <w:br w:type="textWrapping" w:clear="all"/>
      </w:r>
    </w:p>
    <w:p w:rsidR="005B3D51" w:rsidRDefault="005B3D51" w:rsidP="005B3D51">
      <w:pPr>
        <w:rPr>
          <w:rtl/>
        </w:rPr>
      </w:pPr>
    </w:p>
    <w:p w:rsidR="005B3D51" w:rsidRPr="00A243B2" w:rsidRDefault="005B3D51" w:rsidP="005B3D51"/>
    <w:sectPr w:rsidR="005B3D51" w:rsidRPr="00A243B2" w:rsidSect="00653B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75" w:rsidRDefault="00327075" w:rsidP="00C50053">
      <w:pPr>
        <w:spacing w:after="0" w:line="240" w:lineRule="auto"/>
      </w:pPr>
      <w:r>
        <w:separator/>
      </w:r>
    </w:p>
  </w:endnote>
  <w:endnote w:type="continuationSeparator" w:id="0">
    <w:p w:rsidR="00327075" w:rsidRDefault="00327075" w:rsidP="00C5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15" w:rsidRDefault="00AB0B1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15" w:rsidRDefault="00AB0B1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15" w:rsidRDefault="00AB0B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75" w:rsidRDefault="00327075" w:rsidP="00C50053">
      <w:pPr>
        <w:spacing w:after="0" w:line="240" w:lineRule="auto"/>
      </w:pPr>
      <w:r>
        <w:separator/>
      </w:r>
    </w:p>
  </w:footnote>
  <w:footnote w:type="continuationSeparator" w:id="0">
    <w:p w:rsidR="00327075" w:rsidRDefault="00327075" w:rsidP="00C50053">
      <w:pPr>
        <w:spacing w:after="0" w:line="240" w:lineRule="auto"/>
      </w:pPr>
      <w:r>
        <w:continuationSeparator/>
      </w:r>
    </w:p>
  </w:footnote>
  <w:footnote w:id="1">
    <w:p w:rsidR="00C50053" w:rsidRDefault="00C50053" w:rsidP="00C50053">
      <w:pPr>
        <w:pStyle w:val="a3"/>
        <w:rPr>
          <w:rtl/>
        </w:rPr>
      </w:pPr>
      <w:r>
        <w:rPr>
          <w:rStyle w:val="a5"/>
        </w:rPr>
        <w:footnoteRef/>
      </w:r>
      <w:r>
        <w:rPr>
          <w:rtl/>
        </w:rPr>
        <w:t xml:space="preserve"> </w:t>
      </w:r>
    </w:p>
  </w:footnote>
  <w:footnote w:id="2">
    <w:p w:rsidR="00C50053" w:rsidRDefault="00C50053" w:rsidP="00C50053">
      <w:pPr>
        <w:pStyle w:val="a3"/>
      </w:pPr>
      <w:r>
        <w:rPr>
          <w:rStyle w:val="a5"/>
        </w:rPr>
        <w:footnoteRef/>
      </w:r>
      <w:r>
        <w:rPr>
          <w:rtl/>
        </w:rPr>
        <w:t xml:space="preserve"> </w:t>
      </w:r>
      <w:r>
        <w:rPr>
          <w:rFonts w:hint="cs"/>
          <w:rtl/>
        </w:rPr>
        <w:t xml:space="preserve"> </w:t>
      </w:r>
    </w:p>
    <w:p w:rsidR="00C50053" w:rsidRDefault="00C50053" w:rsidP="00C50053">
      <w:pPr>
        <w:pStyle w:val="a3"/>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15" w:rsidRDefault="00AB0B1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15" w:rsidRPr="00AB0B15" w:rsidRDefault="00AB0B15" w:rsidP="00AB0B15">
    <w:pPr>
      <w:pStyle w:val="a8"/>
    </w:pPr>
    <w:r w:rsidRPr="00AB0B15">
      <w:rPr>
        <w:rtl/>
      </w:rPr>
      <w:t>נתנאל בן אבי אמי"ת מודיעין תש"פ</w:t>
    </w:r>
  </w:p>
  <w:p w:rsidR="00AB0B15" w:rsidRPr="00AB0B15" w:rsidRDefault="00AB0B15" w:rsidP="00AB0B15">
    <w:pPr>
      <w:pStyle w:val="a8"/>
      <w:rPr>
        <w:rtl/>
      </w:rPr>
    </w:pPr>
    <w:r w:rsidRPr="00AB0B15">
      <w:rPr>
        <w:rtl/>
      </w:rPr>
      <w:t>כשם שאי אפשר לבר בלי</w:t>
    </w:r>
    <w:r w:rsidRPr="00AB0B15">
      <w:t> </w:t>
    </w:r>
    <w:r w:rsidRPr="00AB0B15">
      <w:rPr>
        <w:rtl/>
      </w:rPr>
      <w:t>תבן</w:t>
    </w:r>
    <w:r w:rsidRPr="00AB0B15">
      <w:t> </w:t>
    </w:r>
    <w:r w:rsidRPr="00AB0B15">
      <w:rPr>
        <w:rtl/>
      </w:rPr>
      <w:t xml:space="preserve">כך לדפוס בלא שגיאות, על כל טעות אשמח לקבל הערות, </w:t>
    </w:r>
    <w:r w:rsidRPr="00AB0B15">
      <w:t>banetanel@gmail.com</w:t>
    </w:r>
  </w:p>
  <w:p w:rsidR="00AB0B15" w:rsidRDefault="00AB0B15">
    <w:pPr>
      <w:pStyle w:val="a8"/>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15" w:rsidRDefault="00AB0B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1E0A"/>
    <w:multiLevelType w:val="hybridMultilevel"/>
    <w:tmpl w:val="8C10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97"/>
    <w:rsid w:val="0030082D"/>
    <w:rsid w:val="00311297"/>
    <w:rsid w:val="00327075"/>
    <w:rsid w:val="00575A79"/>
    <w:rsid w:val="005B3D51"/>
    <w:rsid w:val="005F3E80"/>
    <w:rsid w:val="00653B85"/>
    <w:rsid w:val="0085601B"/>
    <w:rsid w:val="00986299"/>
    <w:rsid w:val="00A243B2"/>
    <w:rsid w:val="00A378CD"/>
    <w:rsid w:val="00AB0B15"/>
    <w:rsid w:val="00AD522F"/>
    <w:rsid w:val="00B33009"/>
    <w:rsid w:val="00C50053"/>
    <w:rsid w:val="00CB1F36"/>
    <w:rsid w:val="00CB5AD3"/>
    <w:rsid w:val="00EB54F3"/>
    <w:rsid w:val="00F11E44"/>
    <w:rsid w:val="00F22EC6"/>
    <w:rsid w:val="00FE26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50053"/>
    <w:pPr>
      <w:spacing w:after="0" w:line="240" w:lineRule="auto"/>
    </w:pPr>
    <w:rPr>
      <w:rFonts w:eastAsiaTheme="minorEastAsia"/>
      <w:sz w:val="20"/>
      <w:szCs w:val="20"/>
    </w:rPr>
  </w:style>
  <w:style w:type="character" w:customStyle="1" w:styleId="a4">
    <w:name w:val="טקסט הערת שוליים תו"/>
    <w:basedOn w:val="a0"/>
    <w:link w:val="a3"/>
    <w:uiPriority w:val="99"/>
    <w:rsid w:val="00C50053"/>
    <w:rPr>
      <w:rFonts w:eastAsiaTheme="minorEastAsia"/>
      <w:sz w:val="20"/>
      <w:szCs w:val="20"/>
    </w:rPr>
  </w:style>
  <w:style w:type="character" w:styleId="a5">
    <w:name w:val="footnote reference"/>
    <w:basedOn w:val="a0"/>
    <w:uiPriority w:val="99"/>
    <w:semiHidden/>
    <w:unhideWhenUsed/>
    <w:rsid w:val="00C50053"/>
    <w:rPr>
      <w:vertAlign w:val="superscript"/>
    </w:rPr>
  </w:style>
  <w:style w:type="paragraph" w:styleId="a6">
    <w:name w:val="List Paragraph"/>
    <w:basedOn w:val="a"/>
    <w:uiPriority w:val="34"/>
    <w:qFormat/>
    <w:rsid w:val="00C50053"/>
    <w:pPr>
      <w:ind w:left="720"/>
      <w:contextualSpacing/>
    </w:pPr>
  </w:style>
  <w:style w:type="table" w:styleId="a7">
    <w:name w:val="Table Grid"/>
    <w:basedOn w:val="a1"/>
    <w:uiPriority w:val="59"/>
    <w:rsid w:val="00CB5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B0B15"/>
    <w:pPr>
      <w:tabs>
        <w:tab w:val="center" w:pos="4153"/>
        <w:tab w:val="right" w:pos="8306"/>
      </w:tabs>
      <w:spacing w:after="0" w:line="240" w:lineRule="auto"/>
    </w:pPr>
  </w:style>
  <w:style w:type="character" w:customStyle="1" w:styleId="a9">
    <w:name w:val="כותרת עליונה תו"/>
    <w:basedOn w:val="a0"/>
    <w:link w:val="a8"/>
    <w:uiPriority w:val="99"/>
    <w:rsid w:val="00AB0B15"/>
  </w:style>
  <w:style w:type="paragraph" w:styleId="aa">
    <w:name w:val="footer"/>
    <w:basedOn w:val="a"/>
    <w:link w:val="ab"/>
    <w:uiPriority w:val="99"/>
    <w:unhideWhenUsed/>
    <w:rsid w:val="00AB0B15"/>
    <w:pPr>
      <w:tabs>
        <w:tab w:val="center" w:pos="4153"/>
        <w:tab w:val="right" w:pos="8306"/>
      </w:tabs>
      <w:spacing w:after="0" w:line="240" w:lineRule="auto"/>
    </w:pPr>
  </w:style>
  <w:style w:type="character" w:customStyle="1" w:styleId="ab">
    <w:name w:val="כותרת תחתונה תו"/>
    <w:basedOn w:val="a0"/>
    <w:link w:val="aa"/>
    <w:uiPriority w:val="99"/>
    <w:rsid w:val="00AB0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50053"/>
    <w:pPr>
      <w:spacing w:after="0" w:line="240" w:lineRule="auto"/>
    </w:pPr>
    <w:rPr>
      <w:rFonts w:eastAsiaTheme="minorEastAsia"/>
      <w:sz w:val="20"/>
      <w:szCs w:val="20"/>
    </w:rPr>
  </w:style>
  <w:style w:type="character" w:customStyle="1" w:styleId="a4">
    <w:name w:val="טקסט הערת שוליים תו"/>
    <w:basedOn w:val="a0"/>
    <w:link w:val="a3"/>
    <w:uiPriority w:val="99"/>
    <w:rsid w:val="00C50053"/>
    <w:rPr>
      <w:rFonts w:eastAsiaTheme="minorEastAsia"/>
      <w:sz w:val="20"/>
      <w:szCs w:val="20"/>
    </w:rPr>
  </w:style>
  <w:style w:type="character" w:styleId="a5">
    <w:name w:val="footnote reference"/>
    <w:basedOn w:val="a0"/>
    <w:uiPriority w:val="99"/>
    <w:semiHidden/>
    <w:unhideWhenUsed/>
    <w:rsid w:val="00C50053"/>
    <w:rPr>
      <w:vertAlign w:val="superscript"/>
    </w:rPr>
  </w:style>
  <w:style w:type="paragraph" w:styleId="a6">
    <w:name w:val="List Paragraph"/>
    <w:basedOn w:val="a"/>
    <w:uiPriority w:val="34"/>
    <w:qFormat/>
    <w:rsid w:val="00C50053"/>
    <w:pPr>
      <w:ind w:left="720"/>
      <w:contextualSpacing/>
    </w:pPr>
  </w:style>
  <w:style w:type="table" w:styleId="a7">
    <w:name w:val="Table Grid"/>
    <w:basedOn w:val="a1"/>
    <w:uiPriority w:val="59"/>
    <w:rsid w:val="00CB5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B0B15"/>
    <w:pPr>
      <w:tabs>
        <w:tab w:val="center" w:pos="4153"/>
        <w:tab w:val="right" w:pos="8306"/>
      </w:tabs>
      <w:spacing w:after="0" w:line="240" w:lineRule="auto"/>
    </w:pPr>
  </w:style>
  <w:style w:type="character" w:customStyle="1" w:styleId="a9">
    <w:name w:val="כותרת עליונה תו"/>
    <w:basedOn w:val="a0"/>
    <w:link w:val="a8"/>
    <w:uiPriority w:val="99"/>
    <w:rsid w:val="00AB0B15"/>
  </w:style>
  <w:style w:type="paragraph" w:styleId="aa">
    <w:name w:val="footer"/>
    <w:basedOn w:val="a"/>
    <w:link w:val="ab"/>
    <w:uiPriority w:val="99"/>
    <w:unhideWhenUsed/>
    <w:rsid w:val="00AB0B15"/>
    <w:pPr>
      <w:tabs>
        <w:tab w:val="center" w:pos="4153"/>
        <w:tab w:val="right" w:pos="8306"/>
      </w:tabs>
      <w:spacing w:after="0" w:line="240" w:lineRule="auto"/>
    </w:pPr>
  </w:style>
  <w:style w:type="character" w:customStyle="1" w:styleId="ab">
    <w:name w:val="כותרת תחתונה תו"/>
    <w:basedOn w:val="a0"/>
    <w:link w:val="aa"/>
    <w:uiPriority w:val="99"/>
    <w:rsid w:val="00AB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7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627</Words>
  <Characters>3135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2019-07-24T08:12:00Z</dcterms:created>
  <dcterms:modified xsi:type="dcterms:W3CDTF">2019-11-04T19:15:00Z</dcterms:modified>
</cp:coreProperties>
</file>