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FA" w:rsidRDefault="000C40FA" w:rsidP="00906BC5">
      <w:pPr>
        <w:jc w:val="center"/>
        <w:rPr>
          <w:rStyle w:val="psk"/>
          <w:rFonts w:ascii="David" w:hAnsi="David" w:cs="David"/>
          <w:b/>
          <w:bCs/>
          <w:color w:val="314B77"/>
          <w:sz w:val="40"/>
          <w:szCs w:val="40"/>
          <w:bdr w:val="none" w:sz="0" w:space="0" w:color="auto" w:frame="1"/>
          <w:rtl/>
        </w:rPr>
      </w:pPr>
      <w:bookmarkStart w:id="0" w:name="_GoBack"/>
      <w:bookmarkEnd w:id="0"/>
      <w:r w:rsidRPr="000C40FA">
        <w:rPr>
          <w:rStyle w:val="psk"/>
          <w:rFonts w:ascii="David" w:hAnsi="David" w:cs="David" w:hint="cs"/>
          <w:b/>
          <w:bCs/>
          <w:color w:val="314B77"/>
          <w:sz w:val="40"/>
          <w:szCs w:val="40"/>
          <w:bdr w:val="none" w:sz="0" w:space="0" w:color="auto" w:frame="1"/>
          <w:rtl/>
        </w:rPr>
        <w:t xml:space="preserve">סוגיית חיוב לימוד תורה לנשים (קידושין דף </w:t>
      </w:r>
      <w:proofErr w:type="spellStart"/>
      <w:r w:rsidRPr="000C40FA">
        <w:rPr>
          <w:rStyle w:val="psk"/>
          <w:rFonts w:ascii="David" w:hAnsi="David" w:cs="David" w:hint="cs"/>
          <w:b/>
          <w:bCs/>
          <w:color w:val="314B77"/>
          <w:sz w:val="40"/>
          <w:szCs w:val="40"/>
          <w:bdr w:val="none" w:sz="0" w:space="0" w:color="auto" w:frame="1"/>
          <w:rtl/>
        </w:rPr>
        <w:t>כט</w:t>
      </w:r>
      <w:proofErr w:type="spellEnd"/>
      <w:r w:rsidRPr="000C40FA">
        <w:rPr>
          <w:rStyle w:val="psk"/>
          <w:rFonts w:ascii="David" w:hAnsi="David" w:cs="David" w:hint="cs"/>
          <w:b/>
          <w:bCs/>
          <w:color w:val="314B77"/>
          <w:sz w:val="40"/>
          <w:szCs w:val="40"/>
          <w:bdr w:val="none" w:sz="0" w:space="0" w:color="auto" w:frame="1"/>
          <w:rtl/>
        </w:rPr>
        <w:t xml:space="preserve"> ע"ב)</w:t>
      </w:r>
    </w:p>
    <w:p w:rsidR="000C40FA" w:rsidRDefault="000C40FA" w:rsidP="00906BC5">
      <w:pPr>
        <w:jc w:val="center"/>
        <w:rPr>
          <w:rStyle w:val="psk"/>
          <w:rFonts w:ascii="David" w:hAnsi="David" w:cs="David"/>
          <w:b/>
          <w:bCs/>
          <w:color w:val="314B77"/>
          <w:sz w:val="40"/>
          <w:szCs w:val="40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40"/>
          <w:szCs w:val="40"/>
          <w:bdr w:val="none" w:sz="0" w:space="0" w:color="auto" w:frame="1"/>
          <w:rtl/>
        </w:rPr>
        <w:t>פשט והעמקה</w:t>
      </w:r>
    </w:p>
    <w:p w:rsidR="000C40FA" w:rsidRDefault="000C40FA" w:rsidP="00906BC5">
      <w:pPr>
        <w:jc w:val="center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 w:rsidRPr="000C40FA"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צחי בלאו</w:t>
      </w: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הקדמה:</w:t>
      </w: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 xml:space="preserve">ניתן להראות את </w:t>
      </w:r>
      <w:proofErr w:type="spellStart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הסירטון</w:t>
      </w:r>
      <w:proofErr w:type="spellEnd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 xml:space="preserve"> הבא כ2:30 דקות מהסדרה שבאבניקים על לימוד תורה לנשים:</w:t>
      </w:r>
    </w:p>
    <w:p w:rsidR="000C40FA" w:rsidRDefault="00DC6937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hyperlink r:id="rId8" w:history="1">
        <w:r w:rsidR="000C40FA" w:rsidRPr="009432A1">
          <w:rPr>
            <w:rStyle w:val="Hyperlink"/>
            <w:rFonts w:ascii="David" w:hAnsi="David" w:cs="David"/>
            <w:b/>
            <w:bCs/>
            <w:sz w:val="28"/>
            <w:szCs w:val="28"/>
            <w:bdr w:val="none" w:sz="0" w:space="0" w:color="auto" w:frame="1"/>
          </w:rPr>
          <w:t>https://www.youtube.com/watch?v=x7nJ-RswSkg&amp;t=2s</w:t>
        </w:r>
      </w:hyperlink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 xml:space="preserve">לאחר מכן ניתן לשאול את התלמידים לדעתם האישית האם נשים צריכות/חייבות ללמוד תורה? (דיון שעלה בישיבת </w:t>
      </w:r>
      <w:proofErr w:type="spellStart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אמי,ת</w:t>
      </w:r>
      <w:proofErr w:type="spellEnd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 xml:space="preserve"> יהודה בעפולה על רקע הפרק הנ"ל בסדרה ששודרה </w:t>
      </w:r>
      <w:proofErr w:type="spellStart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בטלביזיה</w:t>
      </w:r>
      <w:proofErr w:type="spellEnd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).</w:t>
      </w: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לאחר מכן יש לגשת ללימוד פשט הסוגיה ובסוף יובאו דעות של פוסקים שונים בני דורנו.</w:t>
      </w: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 xml:space="preserve">להלן יובאו דפי עבודה שניתן לעבוד עליהם </w:t>
      </w:r>
      <w:proofErr w:type="spellStart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>בחברותות</w:t>
      </w:r>
      <w:proofErr w:type="spellEnd"/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t xml:space="preserve"> באופן עצמאי או לתת אותם כהכנה או כסיכום לשיעור</w:t>
      </w: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:rsidR="000C40FA" w:rsidRPr="000C40FA" w:rsidRDefault="000C40FA" w:rsidP="000C40FA">
      <w:pPr>
        <w:jc w:val="both"/>
        <w:rPr>
          <w:rStyle w:val="psk"/>
          <w:rFonts w:ascii="David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28"/>
          <w:szCs w:val="28"/>
          <w:bdr w:val="none" w:sz="0" w:space="0" w:color="auto" w:frame="1"/>
          <w:rtl/>
        </w:rPr>
        <w:lastRenderedPageBreak/>
        <w:t>פתיחה:</w:t>
      </w:r>
    </w:p>
    <w:p w:rsidR="00906BC5" w:rsidRDefault="00906BC5" w:rsidP="00906BC5">
      <w:pPr>
        <w:jc w:val="center"/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</w:pPr>
      <w:r>
        <w:rPr>
          <w:rStyle w:val="psk"/>
          <w:rFonts w:ascii="David" w:hAnsi="David" w:cs="David" w:hint="cs"/>
          <w:b/>
          <w:bCs/>
          <w:color w:val="314B77"/>
          <w:sz w:val="30"/>
          <w:szCs w:val="30"/>
          <w:bdr w:val="none" w:sz="0" w:space="0" w:color="auto" w:frame="1"/>
          <w:rtl/>
        </w:rPr>
        <w:t>דברים פרק יא</w:t>
      </w:r>
    </w:p>
    <w:p w:rsidR="00B85949" w:rsidRDefault="00906BC5" w:rsidP="00906BC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proofErr w:type="spellStart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יג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 וְהָיָה, אִם-שָׁמֹעַ תִּשְׁמְעוּ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אֶל-מִצְו‍ֹתַי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, אֲשֶׁר אָנֹכִי מְצַוֶּה אֶתְכֶם, הַיּוֹם--לְאַהֲבָה אֶת-יְהוָה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אֱלֹהֵיכֶם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>, וּלְעָבְדוֹ, בְּכָל-לְבַבְכֶם, וּבְכָל-נַפְשְׁכֶם</w:t>
      </w:r>
      <w:r>
        <w:rPr>
          <w:rFonts w:ascii="David" w:hAnsi="David" w:cs="David"/>
          <w:color w:val="314B77"/>
          <w:sz w:val="30"/>
          <w:szCs w:val="30"/>
        </w:rPr>
        <w:t>.  </w:t>
      </w:r>
      <w:bookmarkStart w:id="1" w:name="14"/>
      <w:bookmarkEnd w:id="1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יד</w:t>
      </w:r>
      <w:r>
        <w:rPr>
          <w:rFonts w:ascii="David" w:hAnsi="David" w:cs="David"/>
          <w:color w:val="314B77"/>
          <w:sz w:val="30"/>
          <w:szCs w:val="30"/>
          <w:rtl/>
        </w:rPr>
        <w:t> וְנָתַתִּי מְטַר-אַרְצְכֶם בְּעִתּוֹ, יוֹרֶה וּמַלְקוֹשׁ; וְאָסַפְתָּ דְגָנֶךָ, וְתִירֹשְׁךָ וְיִצְהָרֶךָ</w:t>
      </w:r>
      <w:r>
        <w:rPr>
          <w:rFonts w:ascii="David" w:hAnsi="David" w:cs="David"/>
          <w:color w:val="314B77"/>
          <w:sz w:val="30"/>
          <w:szCs w:val="30"/>
        </w:rPr>
        <w:t>.  </w:t>
      </w:r>
      <w:bookmarkStart w:id="2" w:name="15"/>
      <w:bookmarkEnd w:id="2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טו</w:t>
      </w:r>
      <w:r>
        <w:rPr>
          <w:rFonts w:ascii="David" w:hAnsi="David" w:cs="David"/>
          <w:color w:val="314B77"/>
          <w:sz w:val="30"/>
          <w:szCs w:val="30"/>
          <w:rtl/>
        </w:rPr>
        <w:t> וְנָתַתִּי עֵשֶׂב בְּשָׂדְךָ, לִבְהֶמְתֶּךָ; וְאָכַלְתָּ, וְשָׂבָעְתָּ</w:t>
      </w:r>
      <w:r>
        <w:rPr>
          <w:rFonts w:ascii="David" w:hAnsi="David" w:cs="David"/>
          <w:color w:val="314B77"/>
          <w:sz w:val="30"/>
          <w:szCs w:val="30"/>
        </w:rPr>
        <w:t>.  </w:t>
      </w:r>
      <w:bookmarkStart w:id="3" w:name="16"/>
      <w:bookmarkEnd w:id="3"/>
      <w:proofErr w:type="spellStart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טז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> 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הִשָּׁמְרו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ּ לָכֶם, פֶּן יִפְתֶּה לְבַבְכֶם; וְסַרְתֶּם, וַעֲבַדְתֶּם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אֱלֹהִים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אֲחֵרִים,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וְהִשְׁתַּחֲוִיתֶם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>, לָהֶם</w:t>
      </w:r>
      <w:r>
        <w:rPr>
          <w:rFonts w:ascii="David" w:hAnsi="David" w:cs="David"/>
          <w:color w:val="314B77"/>
          <w:sz w:val="30"/>
          <w:szCs w:val="30"/>
        </w:rPr>
        <w:t>.  </w:t>
      </w:r>
      <w:bookmarkStart w:id="4" w:name="17"/>
      <w:bookmarkEnd w:id="4"/>
      <w:proofErr w:type="spellStart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יז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 וְחָרָה אַף-יְהוָה בָּכֶם, וְעָצַר אֶת-הַשָּׁמַיִם וְלֹא-יִהְיֶה מָטָר, וְהָאֲדָמָה, לֹא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תִתֵּן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אֶת-יְבוּלָהּ; וַאֲבַדְתֶּם מְהֵרָה, מֵעַל הָאָרֶץ הַטֹּבָה, אֲשֶׁר יְהוָה, נֹתֵן לָכֶם</w:t>
      </w:r>
      <w:r>
        <w:rPr>
          <w:rFonts w:ascii="David" w:hAnsi="David" w:cs="David"/>
          <w:color w:val="314B77"/>
          <w:sz w:val="30"/>
          <w:szCs w:val="30"/>
        </w:rPr>
        <w:t>.  </w:t>
      </w:r>
      <w:bookmarkStart w:id="5" w:name="18"/>
      <w:bookmarkEnd w:id="5"/>
      <w:proofErr w:type="spellStart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יח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> וְשַׂמְתֶּם אֶת-דְּבָרַי אֵלֶּה, עַל-לְבַבְכֶם וְעַל-נַפְשְׁכֶם; וּקְשַׁרְתֶּם אֹתָם לְאוֹת עַל-יֶדְכֶם, וְהָיוּ לְטוֹטָפֹת בֵּין עֵינֵיכֶם</w:t>
      </w:r>
      <w:r w:rsidRPr="00261445">
        <w:rPr>
          <w:rFonts w:ascii="David" w:hAnsi="David" w:cs="David"/>
          <w:b/>
          <w:bCs/>
          <w:color w:val="314B77"/>
          <w:sz w:val="36"/>
          <w:szCs w:val="36"/>
        </w:rPr>
        <w:t>.  </w:t>
      </w:r>
      <w:bookmarkStart w:id="6" w:name="19"/>
      <w:bookmarkEnd w:id="6"/>
      <w:proofErr w:type="spellStart"/>
      <w:r w:rsidRPr="00261445">
        <w:rPr>
          <w:rStyle w:val="psk"/>
          <w:rFonts w:ascii="David" w:hAnsi="David" w:cs="David"/>
          <w:b/>
          <w:bCs/>
          <w:color w:val="314B77"/>
          <w:sz w:val="36"/>
          <w:szCs w:val="36"/>
          <w:bdr w:val="none" w:sz="0" w:space="0" w:color="auto" w:frame="1"/>
          <w:rtl/>
        </w:rPr>
        <w:t>יט</w:t>
      </w:r>
      <w:proofErr w:type="spellEnd"/>
      <w:r w:rsidRPr="00261445">
        <w:rPr>
          <w:rFonts w:ascii="David" w:hAnsi="David" w:cs="David"/>
          <w:b/>
          <w:bCs/>
          <w:color w:val="314B77"/>
          <w:sz w:val="36"/>
          <w:szCs w:val="36"/>
          <w:rtl/>
        </w:rPr>
        <w:t> </w:t>
      </w:r>
      <w:r w:rsidRPr="00261445">
        <w:rPr>
          <w:rFonts w:ascii="David" w:hAnsi="David" w:cs="David" w:hint="cs"/>
          <w:b/>
          <w:bCs/>
          <w:color w:val="314B77"/>
          <w:sz w:val="36"/>
          <w:szCs w:val="36"/>
          <w:rtl/>
        </w:rPr>
        <w:t>ולמדתם אתם את בניכם לדבר בם בשבתך בביתך ובלכתך בדרך ובשכבך ובקומך</w:t>
      </w:r>
      <w:bookmarkStart w:id="7" w:name="20"/>
      <w:bookmarkEnd w:id="7"/>
      <w:r>
        <w:rPr>
          <w:rFonts w:ascii="David" w:hAnsi="David" w:cs="David" w:hint="cs"/>
          <w:color w:val="314B77"/>
          <w:sz w:val="30"/>
          <w:szCs w:val="30"/>
          <w:rtl/>
        </w:rPr>
        <w:t xml:space="preserve"> .</w:t>
      </w:r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כ</w:t>
      </w:r>
      <w:r>
        <w:rPr>
          <w:rFonts w:ascii="David" w:hAnsi="David" w:cs="David"/>
          <w:color w:val="314B77"/>
          <w:sz w:val="30"/>
          <w:szCs w:val="30"/>
          <w:rtl/>
        </w:rPr>
        <w:t> וּכְתַבְתָּם עַל-מְזוּזוֹת בֵּיתֶךָ, וּבִשְׁעָרֶיךָ</w:t>
      </w:r>
      <w:r>
        <w:rPr>
          <w:rFonts w:ascii="David" w:hAnsi="David" w:cs="David"/>
          <w:color w:val="314B77"/>
          <w:sz w:val="30"/>
          <w:szCs w:val="30"/>
        </w:rPr>
        <w:t>.  </w:t>
      </w:r>
      <w:bookmarkStart w:id="8" w:name="21"/>
      <w:bookmarkEnd w:id="8"/>
      <w:proofErr w:type="spellStart"/>
      <w:r>
        <w:rPr>
          <w:rStyle w:val="psk"/>
          <w:rFonts w:ascii="David" w:hAnsi="David" w:cs="David"/>
          <w:b/>
          <w:bCs/>
          <w:color w:val="314B77"/>
          <w:sz w:val="30"/>
          <w:szCs w:val="30"/>
          <w:bdr w:val="none" w:sz="0" w:space="0" w:color="auto" w:frame="1"/>
          <w:rtl/>
        </w:rPr>
        <w:t>כא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 לְמַעַן יִרְבּוּ יְמֵיכֶם, וִימֵי בְנֵיכֶם, עַל הָאֲדָמָה, אֲשֶׁר נִשְׁבַּע יְהוָה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לַאֲבֹתֵיכֶם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לָתֵת לָהֶם--כִּימֵי הַשָּׁמַיִם, עַל-הָאָרֶץ</w:t>
      </w:r>
      <w:r>
        <w:rPr>
          <w:rFonts w:ascii="David" w:hAnsi="David" w:cs="David"/>
          <w:color w:val="314B77"/>
          <w:sz w:val="30"/>
          <w:szCs w:val="30"/>
        </w:rPr>
        <w:t>.  </w:t>
      </w:r>
    </w:p>
    <w:p w:rsidR="00151979" w:rsidRDefault="00151979" w:rsidP="00906BC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Pr="00D55E52" w:rsidRDefault="00D55E52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הקדמה ורקע</w:t>
      </w: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ללימוד פשט הגמרא</w:t>
      </w: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:</w:t>
      </w:r>
    </w:p>
    <w:p w:rsidR="00151979" w:rsidRDefault="00151979" w:rsidP="003A1814">
      <w:pPr>
        <w:pStyle w:val="a3"/>
        <w:numPr>
          <w:ilvl w:val="0"/>
          <w:numId w:val="1"/>
        </w:numPr>
        <w:jc w:val="both"/>
        <w:rPr>
          <w:rFonts w:ascii="David" w:hAnsi="David" w:cs="David"/>
          <w:color w:val="314B77"/>
          <w:sz w:val="30"/>
          <w:szCs w:val="30"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על פי פשט הפסוקים מהו חומר הלימודים שעליו מדובר בפסוק </w:t>
      </w:r>
      <w:proofErr w:type="spellStart"/>
      <w:r>
        <w:rPr>
          <w:rFonts w:ascii="David" w:hAnsi="David" w:cs="David" w:hint="cs"/>
          <w:color w:val="314B77"/>
          <w:sz w:val="30"/>
          <w:szCs w:val="30"/>
          <w:rtl/>
        </w:rPr>
        <w:t>יט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>?</w:t>
      </w:r>
    </w:p>
    <w:p w:rsidR="00151979" w:rsidRDefault="00151979" w:rsidP="00151979">
      <w:pPr>
        <w:pStyle w:val="a3"/>
        <w:numPr>
          <w:ilvl w:val="0"/>
          <w:numId w:val="1"/>
        </w:numPr>
        <w:jc w:val="both"/>
        <w:rPr>
          <w:rFonts w:ascii="David" w:hAnsi="David" w:cs="David"/>
          <w:color w:val="314B77"/>
          <w:sz w:val="30"/>
          <w:szCs w:val="30"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נסח במילים שלך את האמור בפסוק י"ט.</w:t>
      </w:r>
    </w:p>
    <w:p w:rsidR="00151979" w:rsidRDefault="00151979" w:rsidP="00151979">
      <w:pPr>
        <w:pStyle w:val="a3"/>
        <w:numPr>
          <w:ilvl w:val="0"/>
          <w:numId w:val="1"/>
        </w:numPr>
        <w:jc w:val="both"/>
        <w:rPr>
          <w:rFonts w:ascii="David" w:hAnsi="David" w:cs="David"/>
          <w:color w:val="314B77"/>
          <w:sz w:val="30"/>
          <w:szCs w:val="30"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בפסוק </w:t>
      </w:r>
      <w:proofErr w:type="spellStart"/>
      <w:r>
        <w:rPr>
          <w:rFonts w:ascii="David" w:hAnsi="David" w:cs="David" w:hint="cs"/>
          <w:color w:val="314B77"/>
          <w:sz w:val="30"/>
          <w:szCs w:val="30"/>
          <w:rtl/>
        </w:rPr>
        <w:t>יט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 xml:space="preserve"> ישנו ציווי, למי הציווי מיועד על פי פשט הפסוקים?</w:t>
      </w:r>
    </w:p>
    <w:p w:rsidR="00151979" w:rsidRPr="00151979" w:rsidRDefault="00151979" w:rsidP="00151979">
      <w:pPr>
        <w:pStyle w:val="a3"/>
        <w:numPr>
          <w:ilvl w:val="0"/>
          <w:numId w:val="1"/>
        </w:numPr>
        <w:jc w:val="both"/>
        <w:rPr>
          <w:rFonts w:ascii="David" w:hAnsi="David" w:cs="David"/>
          <w:color w:val="314B77"/>
          <w:sz w:val="30"/>
          <w:szCs w:val="30"/>
          <w:rtl/>
        </w:rPr>
      </w:pPr>
      <w:r w:rsidRPr="00151979">
        <w:rPr>
          <w:rFonts w:ascii="David" w:hAnsi="David" w:cs="David" w:hint="cs"/>
          <w:color w:val="314B77"/>
          <w:sz w:val="30"/>
          <w:szCs w:val="30"/>
          <w:rtl/>
        </w:rPr>
        <w:t xml:space="preserve">את המילה "ולמדתם" ניתן לנקד </w:t>
      </w:r>
      <w:r>
        <w:rPr>
          <w:rFonts w:ascii="David" w:hAnsi="David" w:cs="David" w:hint="cs"/>
          <w:color w:val="314B77"/>
          <w:sz w:val="30"/>
          <w:szCs w:val="30"/>
          <w:rtl/>
        </w:rPr>
        <w:t xml:space="preserve">עם חיריק מתחת לאות ל' או עם </w:t>
      </w:r>
      <w:proofErr w:type="spellStart"/>
      <w:r>
        <w:rPr>
          <w:rFonts w:ascii="David" w:hAnsi="David" w:cs="David" w:hint="cs"/>
          <w:color w:val="314B77"/>
          <w:sz w:val="30"/>
          <w:szCs w:val="30"/>
          <w:rtl/>
        </w:rPr>
        <w:t>שוא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>-</w:t>
      </w:r>
      <w:r w:rsidRPr="00151979">
        <w:rPr>
          <w:rFonts w:ascii="David" w:hAnsi="David" w:cs="David" w:hint="cs"/>
          <w:color w:val="314B77"/>
          <w:sz w:val="30"/>
          <w:szCs w:val="30"/>
          <w:rtl/>
        </w:rPr>
        <w:t>נע מתחת לאות ל'.</w:t>
      </w:r>
    </w:p>
    <w:p w:rsidR="003A1814" w:rsidRDefault="00151979" w:rsidP="003A1814">
      <w:pPr>
        <w:pStyle w:val="a3"/>
        <w:jc w:val="both"/>
        <w:rPr>
          <w:rFonts w:ascii="David" w:hAnsi="David" w:cs="David"/>
          <w:color w:val="314B77"/>
          <w:sz w:val="30"/>
          <w:szCs w:val="30"/>
          <w:rtl/>
        </w:rPr>
      </w:pPr>
      <w:r w:rsidRPr="00151979">
        <w:rPr>
          <w:rFonts w:ascii="David" w:hAnsi="David" w:cs="David" w:hint="cs"/>
          <w:color w:val="314B77"/>
          <w:sz w:val="30"/>
          <w:szCs w:val="30"/>
          <w:rtl/>
        </w:rPr>
        <w:t>נסה לחשוב האם יש משמעויות שונות לשתי צורות הניקוד!</w:t>
      </w:r>
    </w:p>
    <w:p w:rsidR="00261445" w:rsidRDefault="00261445" w:rsidP="00261445">
      <w:pPr>
        <w:pStyle w:val="a3"/>
        <w:numPr>
          <w:ilvl w:val="0"/>
          <w:numId w:val="1"/>
        </w:num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את המילה "אתם" ניתן לנקד עם חולם חסר (= אותם) או עם קמץ מתחת לאות א' וכן עם סגול מתחת לאות ת'.</w:t>
      </w:r>
    </w:p>
    <w:p w:rsidR="00261445" w:rsidRDefault="00261445" w:rsidP="00261445">
      <w:pPr>
        <w:pStyle w:val="a3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נסה לחשוב האם יש משמעויות שונות לשתי צורות הניקוד!</w:t>
      </w:r>
    </w:p>
    <w:p w:rsidR="00FB37E2" w:rsidRDefault="00FB37E2" w:rsidP="00261445">
      <w:pPr>
        <w:pStyle w:val="a3"/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Pr="00D55E52" w:rsidRDefault="00D55E52" w:rsidP="0026144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חלק א:</w:t>
      </w:r>
    </w:p>
    <w:p w:rsidR="00151979" w:rsidRPr="003A1814" w:rsidRDefault="00261445" w:rsidP="003A1814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6</w:t>
      </w:r>
      <w:r w:rsidR="003A1814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 w:rsidR="00151979" w:rsidRPr="003A1814">
        <w:rPr>
          <w:rFonts w:ascii="David" w:hAnsi="David" w:cs="David" w:hint="cs"/>
          <w:color w:val="314B77"/>
          <w:sz w:val="30"/>
          <w:szCs w:val="30"/>
          <w:rtl/>
        </w:rPr>
        <w:t xml:space="preserve">הגמרא בדף </w:t>
      </w:r>
      <w:proofErr w:type="spellStart"/>
      <w:r w:rsidR="00151979" w:rsidRPr="003A1814">
        <w:rPr>
          <w:rFonts w:ascii="David" w:hAnsi="David" w:cs="David" w:hint="cs"/>
          <w:color w:val="314B77"/>
          <w:sz w:val="30"/>
          <w:szCs w:val="30"/>
          <w:rtl/>
        </w:rPr>
        <w:t>כט</w:t>
      </w:r>
      <w:proofErr w:type="spellEnd"/>
      <w:r w:rsidR="00151979" w:rsidRPr="003A1814">
        <w:rPr>
          <w:rFonts w:ascii="David" w:hAnsi="David" w:cs="David" w:hint="cs"/>
          <w:color w:val="314B77"/>
          <w:sz w:val="30"/>
          <w:szCs w:val="30"/>
          <w:rtl/>
        </w:rPr>
        <w:t xml:space="preserve"> ע"ב במסכת קידושין לומדת מפסוק י"ט את חובת האב ללמד את בנו תורה:</w:t>
      </w:r>
    </w:p>
    <w:p w:rsidR="00151979" w:rsidRPr="00D80A11" w:rsidRDefault="003A1814" w:rsidP="003A1814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r w:rsidRPr="00D80A11">
        <w:rPr>
          <w:rFonts w:ascii="David" w:hAnsi="David" w:cs="Guttman Vilna"/>
          <w:b/>
          <w:bCs/>
          <w:color w:val="314B77"/>
          <w:sz w:val="30"/>
          <w:szCs w:val="30"/>
          <w:rtl/>
        </w:rPr>
        <w:t>ללמדו תורה</w:t>
      </w:r>
      <w:r w:rsidRPr="00D80A11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 xml:space="preserve"> - </w:t>
      </w:r>
      <w:proofErr w:type="spellStart"/>
      <w:r w:rsidR="00151979" w:rsidRPr="00D80A11">
        <w:rPr>
          <w:rFonts w:ascii="David" w:hAnsi="David" w:cs="Guttman Vilna"/>
          <w:b/>
          <w:bCs/>
          <w:color w:val="314B77"/>
          <w:sz w:val="30"/>
          <w:szCs w:val="30"/>
          <w:rtl/>
        </w:rPr>
        <w:t>מנלן</w:t>
      </w:r>
      <w:proofErr w:type="spellEnd"/>
      <w:r w:rsidR="00151979" w:rsidRPr="00D80A11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?(שהאב חייב ללמד את בנו תורה)</w:t>
      </w:r>
    </w:p>
    <w:p w:rsidR="00151979" w:rsidRPr="00D80A11" w:rsidRDefault="00151979" w:rsidP="00151979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r w:rsidRPr="00D80A11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80A11">
        <w:rPr>
          <w:rFonts w:ascii="David" w:hAnsi="David" w:cs="Guttman Vilna"/>
          <w:b/>
          <w:bCs/>
          <w:color w:val="314B77"/>
          <w:sz w:val="30"/>
          <w:szCs w:val="30"/>
          <w:rtl/>
        </w:rPr>
        <w:t>דכתיב</w:t>
      </w:r>
      <w:proofErr w:type="spellEnd"/>
      <w:r w:rsidRPr="00D80A11">
        <w:rPr>
          <w:rFonts w:ascii="David" w:hAnsi="David" w:cs="Guttman Vilna"/>
          <w:b/>
          <w:bCs/>
          <w:color w:val="314B77"/>
          <w:sz w:val="30"/>
          <w:szCs w:val="30"/>
        </w:rPr>
        <w:t xml:space="preserve">" </w:t>
      </w:r>
      <w:r w:rsidRPr="00D80A11">
        <w:rPr>
          <w:rFonts w:ascii="David" w:hAnsi="David" w:cs="Guttman Vilna"/>
          <w:b/>
          <w:bCs/>
          <w:color w:val="314B77"/>
          <w:sz w:val="30"/>
          <w:szCs w:val="30"/>
          <w:rtl/>
        </w:rPr>
        <w:t>ולמדתם אותם את בניכם</w:t>
      </w:r>
      <w:r w:rsidRPr="00D80A11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"</w:t>
      </w:r>
      <w:r w:rsidRPr="00D80A11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</w:p>
    <w:p w:rsidR="003A1814" w:rsidRDefault="003A1814" w:rsidP="00151979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כיצד חובת האב נלמדת מפסוק </w:t>
      </w:r>
      <w:proofErr w:type="spellStart"/>
      <w:r>
        <w:rPr>
          <w:rFonts w:ascii="David" w:hAnsi="David" w:cs="David" w:hint="cs"/>
          <w:color w:val="314B77"/>
          <w:sz w:val="30"/>
          <w:szCs w:val="30"/>
          <w:rtl/>
        </w:rPr>
        <w:t>יט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>?</w:t>
      </w:r>
    </w:p>
    <w:p w:rsidR="003A1814" w:rsidRPr="00261445" w:rsidRDefault="003A1814" w:rsidP="00261445">
      <w:pPr>
        <w:pStyle w:val="a3"/>
        <w:numPr>
          <w:ilvl w:val="0"/>
          <w:numId w:val="3"/>
        </w:numPr>
        <w:jc w:val="both"/>
        <w:rPr>
          <w:rFonts w:ascii="David" w:hAnsi="David" w:cs="David"/>
          <w:color w:val="314B77"/>
          <w:sz w:val="30"/>
          <w:szCs w:val="30"/>
          <w:rtl/>
        </w:rPr>
      </w:pPr>
      <w:r w:rsidRPr="00261445">
        <w:rPr>
          <w:rFonts w:ascii="David" w:hAnsi="David" w:cs="David" w:hint="cs"/>
          <w:color w:val="314B77"/>
          <w:sz w:val="30"/>
          <w:szCs w:val="30"/>
          <w:rtl/>
        </w:rPr>
        <w:t>האם זהו פשט הפסוקים?</w:t>
      </w:r>
    </w:p>
    <w:p w:rsidR="003A1814" w:rsidRDefault="00261445" w:rsidP="00261445">
      <w:pPr>
        <w:pStyle w:val="a3"/>
        <w:numPr>
          <w:ilvl w:val="0"/>
          <w:numId w:val="3"/>
        </w:numPr>
        <w:jc w:val="both"/>
        <w:rPr>
          <w:rFonts w:ascii="David" w:hAnsi="David" w:cs="David"/>
          <w:color w:val="314B77"/>
          <w:sz w:val="30"/>
          <w:szCs w:val="30"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עיין שוב בשאלות</w:t>
      </w:r>
      <w:r w:rsidR="003A1814">
        <w:rPr>
          <w:rFonts w:ascii="David" w:hAnsi="David" w:cs="David" w:hint="cs"/>
          <w:color w:val="314B77"/>
          <w:sz w:val="30"/>
          <w:szCs w:val="30"/>
          <w:rtl/>
        </w:rPr>
        <w:t xml:space="preserve"> 4</w:t>
      </w:r>
      <w:r>
        <w:rPr>
          <w:rFonts w:ascii="David" w:hAnsi="David" w:cs="David" w:hint="cs"/>
          <w:color w:val="314B77"/>
          <w:sz w:val="30"/>
          <w:szCs w:val="30"/>
          <w:rtl/>
        </w:rPr>
        <w:t xml:space="preserve">+5, </w:t>
      </w:r>
      <w:r w:rsidR="003A1814">
        <w:rPr>
          <w:rFonts w:ascii="David" w:hAnsi="David" w:cs="David" w:hint="cs"/>
          <w:color w:val="314B77"/>
          <w:sz w:val="30"/>
          <w:szCs w:val="30"/>
          <w:rtl/>
        </w:rPr>
        <w:t>לפי איזו משמעות נקרא</w:t>
      </w:r>
      <w:r>
        <w:rPr>
          <w:rFonts w:ascii="David" w:hAnsi="David" w:cs="David" w:hint="cs"/>
          <w:color w:val="314B77"/>
          <w:sz w:val="30"/>
          <w:szCs w:val="30"/>
          <w:rtl/>
        </w:rPr>
        <w:t>ות המילים "ולמדתם אתם"</w:t>
      </w:r>
      <w:r w:rsidR="003A1814">
        <w:rPr>
          <w:rFonts w:ascii="David" w:hAnsi="David" w:cs="David" w:hint="cs"/>
          <w:color w:val="314B77"/>
          <w:sz w:val="30"/>
          <w:szCs w:val="30"/>
          <w:rtl/>
        </w:rPr>
        <w:t>?</w:t>
      </w:r>
    </w:p>
    <w:p w:rsidR="003A1814" w:rsidRDefault="003A1814" w:rsidP="00261445">
      <w:pPr>
        <w:pStyle w:val="a3"/>
        <w:numPr>
          <w:ilvl w:val="0"/>
          <w:numId w:val="3"/>
        </w:numPr>
        <w:jc w:val="both"/>
        <w:rPr>
          <w:rFonts w:ascii="David" w:hAnsi="David" w:cs="David"/>
          <w:color w:val="314B77"/>
          <w:sz w:val="30"/>
          <w:szCs w:val="30"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האם כתוב בפסוק י"ט מה דינו של ילד שאביו לא לימדו?</w:t>
      </w:r>
    </w:p>
    <w:p w:rsidR="00D55E52" w:rsidRDefault="00D55E52" w:rsidP="00D55E52">
      <w:pPr>
        <w:pStyle w:val="a3"/>
        <w:ind w:left="1080"/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D55E52">
      <w:pPr>
        <w:pStyle w:val="a3"/>
        <w:ind w:left="1080"/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D55E52">
      <w:pPr>
        <w:pStyle w:val="a3"/>
        <w:ind w:left="1080"/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D55E52">
      <w:pPr>
        <w:pStyle w:val="a3"/>
        <w:ind w:left="1080"/>
        <w:jc w:val="both"/>
        <w:rPr>
          <w:rFonts w:ascii="David" w:hAnsi="David" w:cs="David"/>
          <w:color w:val="314B77"/>
          <w:sz w:val="30"/>
          <w:szCs w:val="30"/>
        </w:rPr>
      </w:pPr>
    </w:p>
    <w:p w:rsidR="00D55E52" w:rsidRPr="00D55E52" w:rsidRDefault="00D55E52" w:rsidP="00D55E52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חלק ב:</w:t>
      </w:r>
    </w:p>
    <w:p w:rsidR="003A1814" w:rsidRDefault="00D55E52" w:rsidP="003A1814">
      <w:pPr>
        <w:ind w:left="720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10. </w:t>
      </w:r>
      <w:r w:rsidR="003A1814">
        <w:rPr>
          <w:rFonts w:ascii="David" w:hAnsi="David" w:cs="David" w:hint="cs"/>
          <w:color w:val="314B77"/>
          <w:sz w:val="30"/>
          <w:szCs w:val="30"/>
          <w:rtl/>
        </w:rPr>
        <w:t xml:space="preserve"> עיין בקטע הגמרא הבא:</w:t>
      </w:r>
    </w:p>
    <w:p w:rsidR="003A1814" w:rsidRPr="00D55E52" w:rsidRDefault="003A1814" w:rsidP="003A1814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והיכא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דלא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אגמריה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אבוה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</w:p>
    <w:p w:rsidR="003A1814" w:rsidRPr="00D55E52" w:rsidRDefault="003A1814" w:rsidP="003A1814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מיחייב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איהו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למיגמר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נפשיה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דכתיב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r w:rsidRPr="00D55E52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"</w:t>
      </w:r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ולמדתם</w:t>
      </w:r>
      <w:r w:rsidRPr="00D55E52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"</w:t>
      </w:r>
    </w:p>
    <w:p w:rsidR="003A1814" w:rsidRDefault="003A1814" w:rsidP="003A1814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מה דינו של ילד שאביו לא לימדו על פי מסקנת הגמרא?</w:t>
      </w:r>
    </w:p>
    <w:p w:rsidR="003A1814" w:rsidRDefault="003A1814" w:rsidP="003A1814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10. מאיזו מילה בפסוק </w:t>
      </w:r>
      <w:proofErr w:type="spellStart"/>
      <w:r>
        <w:rPr>
          <w:rFonts w:ascii="David" w:hAnsi="David" w:cs="David" w:hint="cs"/>
          <w:color w:val="314B77"/>
          <w:sz w:val="30"/>
          <w:szCs w:val="30"/>
          <w:rtl/>
        </w:rPr>
        <w:t>יט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 xml:space="preserve"> מסיקה הגמרא את הדין הנ"ל?</w:t>
      </w:r>
    </w:p>
    <w:p w:rsidR="00261445" w:rsidRDefault="00261445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11. עיין שוב בשאלות 4+5, </w:t>
      </w:r>
      <w:r w:rsidR="003A1814">
        <w:rPr>
          <w:rFonts w:ascii="David" w:hAnsi="David" w:cs="David" w:hint="cs"/>
          <w:color w:val="314B77"/>
          <w:sz w:val="30"/>
          <w:szCs w:val="30"/>
          <w:rtl/>
        </w:rPr>
        <w:t xml:space="preserve"> וכתוב לפי איזו משמעות נקרא</w:t>
      </w:r>
      <w:r>
        <w:rPr>
          <w:rFonts w:ascii="David" w:hAnsi="David" w:cs="David" w:hint="cs"/>
          <w:color w:val="314B77"/>
          <w:sz w:val="30"/>
          <w:szCs w:val="30"/>
          <w:rtl/>
        </w:rPr>
        <w:t>ות המילים</w:t>
      </w:r>
    </w:p>
    <w:p w:rsidR="003A1814" w:rsidRDefault="003A1814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"ולמדתם</w:t>
      </w:r>
      <w:r w:rsidR="00261445">
        <w:rPr>
          <w:rFonts w:ascii="David" w:hAnsi="David" w:cs="David" w:hint="cs"/>
          <w:color w:val="314B77"/>
          <w:sz w:val="30"/>
          <w:szCs w:val="30"/>
          <w:rtl/>
        </w:rPr>
        <w:t xml:space="preserve"> אתם</w:t>
      </w:r>
      <w:r>
        <w:rPr>
          <w:rFonts w:ascii="David" w:hAnsi="David" w:cs="David" w:hint="cs"/>
          <w:color w:val="314B77"/>
          <w:sz w:val="30"/>
          <w:szCs w:val="30"/>
          <w:rtl/>
        </w:rPr>
        <w:t>"</w:t>
      </w:r>
      <w:r w:rsidR="00261445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>
        <w:rPr>
          <w:rFonts w:ascii="David" w:hAnsi="David" w:cs="David" w:hint="cs"/>
          <w:color w:val="314B77"/>
          <w:sz w:val="30"/>
          <w:szCs w:val="30"/>
          <w:rtl/>
        </w:rPr>
        <w:t>בשלב זה של הסוגיה? (לפי השורות שמופיעות בשאלה מספר 9).</w:t>
      </w:r>
    </w:p>
    <w:p w:rsidR="00D55E52" w:rsidRPr="00D55E52" w:rsidRDefault="00D55E52" w:rsidP="0026144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</w:p>
    <w:p w:rsidR="00D55E52" w:rsidRPr="00D55E52" w:rsidRDefault="00D55E52" w:rsidP="0026144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חלק ג:</w:t>
      </w:r>
    </w:p>
    <w:p w:rsidR="00261445" w:rsidRDefault="00261445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12. עיין בקטע ה גמרא הבא:</w:t>
      </w:r>
    </w:p>
    <w:p w:rsidR="00261445" w:rsidRPr="00D55E52" w:rsidRDefault="00261445" w:rsidP="00261445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איהי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מנלן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דלא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מיחייבא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r w:rsidRPr="00D55E52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(ללמד אחרים)</w:t>
      </w:r>
    </w:p>
    <w:p w:rsidR="00261445" w:rsidRPr="00D55E52" w:rsidRDefault="00261445" w:rsidP="00261445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דכתיב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ולימדתם ולמדתם </w:t>
      </w:r>
    </w:p>
    <w:p w:rsidR="00261445" w:rsidRPr="00D55E52" w:rsidRDefault="00261445" w:rsidP="00261445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כל שמצווה ללמוד מצווה ללמד וכל שאינו מצווה ללמוד אינו מצווה ללמד </w:t>
      </w:r>
    </w:p>
    <w:p w:rsidR="00261445" w:rsidRDefault="00261445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מהי שאלת הגמרא בקטע זה?</w:t>
      </w:r>
    </w:p>
    <w:p w:rsidR="00261445" w:rsidRDefault="00261445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13. </w:t>
      </w:r>
      <w:r w:rsidR="00F16CDA">
        <w:rPr>
          <w:rFonts w:ascii="David" w:hAnsi="David" w:cs="David" w:hint="cs"/>
          <w:color w:val="314B77"/>
          <w:sz w:val="30"/>
          <w:szCs w:val="30"/>
          <w:rtl/>
        </w:rPr>
        <w:t>מהי תשובת הגמרא לשאלה זו? כתוב רק את הדין הסופי ולא את ההוכחה.</w:t>
      </w:r>
    </w:p>
    <w:p w:rsidR="00F16CDA" w:rsidRDefault="00F16CDA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14. כיצד למדה הגמרא את תשובתה הנ"ל?</w:t>
      </w:r>
    </w:p>
    <w:p w:rsidR="00F16CDA" w:rsidRDefault="00F16CDA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15. עיין שוב בתשובתך לשאלה מספר 4, באיזה מובן של המילה "ולמדתם" משתמשת הגמרא כדי ללמוד את תשובתה (לשאלה 12).</w:t>
      </w:r>
    </w:p>
    <w:p w:rsidR="00F16CDA" w:rsidRDefault="00F16CDA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16. מהו העיקרון העולה מלימוד הסוגיה עד כה לגבי השאלה מי מצווה ללמד תורה? כיצד עיקרון זה נלמד מלשון הפסוק?</w:t>
      </w:r>
    </w:p>
    <w:p w:rsidR="00D55E52" w:rsidRDefault="00D55E52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Pr="00D55E52" w:rsidRDefault="00D55E52" w:rsidP="0026144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חלק ד:</w:t>
      </w:r>
    </w:p>
    <w:p w:rsidR="00F16CDA" w:rsidRPr="00D55E52" w:rsidRDefault="00F16CDA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 w:rsidRPr="00D55E52">
        <w:rPr>
          <w:rFonts w:ascii="David" w:hAnsi="David" w:cs="David"/>
          <w:color w:val="314B77"/>
          <w:sz w:val="30"/>
          <w:szCs w:val="30"/>
          <w:rtl/>
        </w:rPr>
        <w:t>17. עיין בקטע הגמרא הבא:</w:t>
      </w:r>
    </w:p>
    <w:p w:rsidR="00F16CDA" w:rsidRPr="00D55E52" w:rsidRDefault="00F16CDA" w:rsidP="00F16CDA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ואיהי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מנלן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דלא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מיחייבה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למילף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נפשה </w:t>
      </w:r>
    </w:p>
    <w:p w:rsidR="00F16CDA" w:rsidRPr="00D55E52" w:rsidRDefault="00F16CDA" w:rsidP="00F16CDA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דכתיב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ולימדתם ולמדתם </w:t>
      </w:r>
    </w:p>
    <w:p w:rsidR="00F16CDA" w:rsidRPr="00D55E52" w:rsidRDefault="00F16CDA" w:rsidP="00F16CDA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כל שאחרים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מצווין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ללמדו מצווה ללמד את עצמו וכל שאין אחרים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מצווין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ללמדו אין מצווה ללמד את עצמו </w:t>
      </w:r>
    </w:p>
    <w:p w:rsidR="00F16CDA" w:rsidRDefault="00F16CDA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מהי שאלת הגמרא בקטע זה?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18 . מהי תשובת הגמרא לשאלה זו? כתוב רק את הדין הסופי ולא את ההוכחה.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19. כיצד למדה הגמרא את תשובתה הנ"ל?</w:t>
      </w:r>
    </w:p>
    <w:p w:rsidR="00F16CDA" w:rsidRDefault="00F16CDA" w:rsidP="00D55E52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20. עיין שוב בתשובתך לשאלה מספר 4, באיזה מובן של המילה "ולמדתם" משתמשת הגמרא כדי ללמוד את תשובתה (לשאלה </w:t>
      </w:r>
      <w:r w:rsidR="00D55E52">
        <w:rPr>
          <w:rFonts w:ascii="David" w:hAnsi="David" w:cs="David" w:hint="cs"/>
          <w:color w:val="314B77"/>
          <w:sz w:val="30"/>
          <w:szCs w:val="30"/>
          <w:rtl/>
        </w:rPr>
        <w:t>18</w:t>
      </w:r>
      <w:r>
        <w:rPr>
          <w:rFonts w:ascii="David" w:hAnsi="David" w:cs="David" w:hint="cs"/>
          <w:color w:val="314B77"/>
          <w:sz w:val="30"/>
          <w:szCs w:val="30"/>
          <w:rtl/>
        </w:rPr>
        <w:t>).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21. מהו העיקרון העולה מלימוד הסוגיה עד כה לגבי השאלה מי מצווה ללמד תורה? כיצד עיקרון זה נלמד מלשון הפסוק?</w:t>
      </w:r>
    </w:p>
    <w:p w:rsidR="00D55E52" w:rsidRDefault="00D55E52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Pr="00D55E52" w:rsidRDefault="00D55E52" w:rsidP="00F16CDA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חלק ה: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22. עיין בקטע הגמרא הבא:</w:t>
      </w:r>
    </w:p>
    <w:p w:rsidR="00F16CDA" w:rsidRPr="00D55E52" w:rsidRDefault="00F16CDA" w:rsidP="00F16CDA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ומנין שאין אחרים </w:t>
      </w: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מצווין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ללמדה </w:t>
      </w:r>
    </w:p>
    <w:p w:rsidR="00F16CDA" w:rsidRPr="00D55E52" w:rsidRDefault="00F16CDA" w:rsidP="00F16CDA">
      <w:pPr>
        <w:jc w:val="both"/>
        <w:rPr>
          <w:rFonts w:ascii="David" w:hAnsi="David" w:cs="Guttman Vilna"/>
          <w:b/>
          <w:bCs/>
          <w:color w:val="314B77"/>
          <w:sz w:val="30"/>
          <w:szCs w:val="30"/>
          <w:rtl/>
        </w:rPr>
      </w:pPr>
      <w:proofErr w:type="spellStart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דאמר</w:t>
      </w:r>
      <w:proofErr w:type="spellEnd"/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קרא </w:t>
      </w:r>
      <w:r w:rsidR="00D55E52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"</w:t>
      </w:r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>ולמדתם אותם את בניכם ולא בנותיכם</w:t>
      </w:r>
      <w:r w:rsidR="00D55E52">
        <w:rPr>
          <w:rFonts w:ascii="David" w:hAnsi="David" w:cs="Guttman Vilna" w:hint="cs"/>
          <w:b/>
          <w:bCs/>
          <w:color w:val="314B77"/>
          <w:sz w:val="30"/>
          <w:szCs w:val="30"/>
          <w:rtl/>
        </w:rPr>
        <w:t>"</w:t>
      </w:r>
      <w:r w:rsidRPr="00D55E52">
        <w:rPr>
          <w:rFonts w:ascii="David" w:hAnsi="David" w:cs="Guttman Vilna"/>
          <w:b/>
          <w:bCs/>
          <w:color w:val="314B77"/>
          <w:sz w:val="30"/>
          <w:szCs w:val="30"/>
          <w:rtl/>
        </w:rPr>
        <w:t xml:space="preserve"> 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מהי שאלת הגמרא בקטע זה?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23. מהי תשובת הגמרא לשאלה הנ"ל ועל מה היא מסתמכת?</w:t>
      </w:r>
    </w:p>
    <w:p w:rsidR="00F16CDA" w:rsidRDefault="00F16CDA" w:rsidP="00F16CDA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 xml:space="preserve">24. </w:t>
      </w:r>
      <w:r w:rsidR="00D55E52">
        <w:rPr>
          <w:rFonts w:ascii="David" w:hAnsi="David" w:cs="David" w:hint="cs"/>
          <w:color w:val="314B77"/>
          <w:sz w:val="30"/>
          <w:szCs w:val="30"/>
          <w:rtl/>
        </w:rPr>
        <w:t>עיין שוב בתשובתך לשאלה מספר 4, באיזה מובן של המילים "ולמדתם אתם" משתמשת הגמרא כדי ללמוד את תשובתה?</w:t>
      </w:r>
    </w:p>
    <w:p w:rsidR="00D55E52" w:rsidRDefault="00D55E52" w:rsidP="00D55E52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25. על איזו מילה נוספת מסתמכת הגמרא כדי להוכיח את תשובתה?</w:t>
      </w:r>
    </w:p>
    <w:p w:rsidR="00D55E52" w:rsidRDefault="00D55E52" w:rsidP="00D55E52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D55E52" w:rsidRDefault="00D55E52" w:rsidP="00D55E52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שאלת סיכום ומחשבה:</w:t>
      </w:r>
    </w:p>
    <w:p w:rsidR="00D55E52" w:rsidRPr="00D55E52" w:rsidRDefault="00D55E52" w:rsidP="00D55E52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26. כאשר אנו פותחים את ספר התורה אנו רואים שאין ניקוד לאותיות, מכאן שניתן לקרוא כל מילה באפשרויות שונות. כיצד משתמשת הסוגיה שלנו בעיקרון זה כדי להסיק תשובות ומסקנות לשאלות שעלו?</w:t>
      </w:r>
    </w:p>
    <w:p w:rsidR="00F16CDA" w:rsidRPr="000C40FA" w:rsidRDefault="00F16CDA" w:rsidP="0026144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</w:p>
    <w:p w:rsidR="00F16CDA" w:rsidRPr="000C40FA" w:rsidRDefault="00FB37E2" w:rsidP="00564478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0C40FA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לימוד הסוגיה</w:t>
      </w:r>
      <w:r w:rsidR="00564478"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בהעמקה (מומלץ </w:t>
      </w:r>
      <w:proofErr w:type="spellStart"/>
      <w:r w:rsidR="00564478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שהר"מ</w:t>
      </w:r>
      <w:proofErr w:type="spellEnd"/>
      <w:r w:rsidR="00564478"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</w:t>
      </w:r>
      <w:proofErr w:type="spellStart"/>
      <w:r w:rsidR="00564478">
        <w:rPr>
          <w:rFonts w:ascii="David" w:hAnsi="David" w:cs="David" w:hint="cs"/>
          <w:b/>
          <w:bCs/>
          <w:color w:val="314B77"/>
          <w:sz w:val="30"/>
          <w:szCs w:val="30"/>
          <w:rtl/>
        </w:rPr>
        <w:t>יתן</w:t>
      </w:r>
      <w:proofErr w:type="spellEnd"/>
      <w:r w:rsidR="00564478"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קצת רקע או גמרא מבוארת </w:t>
      </w:r>
      <w:r w:rsidR="00564478">
        <w:rPr>
          <w:rFonts w:ascii="David" w:hAnsi="David" w:cs="David"/>
          <w:b/>
          <w:bCs/>
          <w:color w:val="314B77"/>
          <w:sz w:val="30"/>
          <w:szCs w:val="30"/>
          <w:rtl/>
        </w:rPr>
        <w:t>–</w:t>
      </w:r>
      <w:r w:rsidR="00564478"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תלוי ברקע וברמת התלמידים)</w:t>
      </w:r>
      <w:r w:rsidRPr="000C40FA">
        <w:rPr>
          <w:rFonts w:ascii="David" w:hAnsi="David" w:cs="David" w:hint="cs"/>
          <w:b/>
          <w:bCs/>
          <w:color w:val="314B77"/>
          <w:sz w:val="30"/>
          <w:szCs w:val="30"/>
          <w:rtl/>
        </w:rPr>
        <w:t>:</w:t>
      </w:r>
    </w:p>
    <w:p w:rsidR="00FB37E2" w:rsidRPr="00564478" w:rsidRDefault="00204DCE" w:rsidP="00564478">
      <w:pPr>
        <w:pStyle w:val="a3"/>
        <w:numPr>
          <w:ilvl w:val="0"/>
          <w:numId w:val="5"/>
        </w:numPr>
        <w:jc w:val="both"/>
        <w:rPr>
          <w:rFonts w:ascii="David" w:hAnsi="David" w:cs="David"/>
          <w:color w:val="314B77"/>
          <w:sz w:val="30"/>
          <w:szCs w:val="30"/>
          <w:rtl/>
        </w:rPr>
      </w:pPr>
      <w:r w:rsidRPr="00564478">
        <w:rPr>
          <w:rFonts w:ascii="David" w:hAnsi="David" w:cs="David" w:hint="cs"/>
          <w:color w:val="314B77"/>
          <w:sz w:val="30"/>
          <w:szCs w:val="30"/>
          <w:rtl/>
        </w:rPr>
        <w:t xml:space="preserve">להלן יוצגו לפניך שלושה מקורות שונים. למד אותם וחשוב האם לפי כל מקור </w:t>
      </w:r>
      <w:proofErr w:type="spellStart"/>
      <w:r w:rsidRPr="00564478">
        <w:rPr>
          <w:rFonts w:ascii="David" w:hAnsi="David" w:cs="David" w:hint="cs"/>
          <w:color w:val="314B77"/>
          <w:sz w:val="30"/>
          <w:szCs w:val="30"/>
          <w:rtl/>
        </w:rPr>
        <w:t>אשה</w:t>
      </w:r>
      <w:proofErr w:type="spellEnd"/>
      <w:r w:rsidRPr="00564478">
        <w:rPr>
          <w:rFonts w:ascii="David" w:hAnsi="David" w:cs="David" w:hint="cs"/>
          <w:color w:val="314B77"/>
          <w:sz w:val="30"/>
          <w:szCs w:val="30"/>
          <w:rtl/>
        </w:rPr>
        <w:t xml:space="preserve"> חייבת בלימוד תורה והאם המקור סותר את מה שלמדת בסוגיה שלנו במסכת קידושין:</w:t>
      </w: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מקור מספר 1:</w:t>
      </w: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משנה מסכת סוטה פרק ג:</w:t>
      </w: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/>
          <w:color w:val="314B77"/>
          <w:sz w:val="30"/>
          <w:szCs w:val="30"/>
          <w:rtl/>
        </w:rPr>
        <w:t xml:space="preserve">אינה מספקת לשתות, עד שפניה מוריקות, ועיניה בולטות, והיא מתמלא גידים; והן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אומרין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הוציאוה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הוציאוה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, שלא תטמא את העזרה.  </w:t>
      </w: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/>
          <w:color w:val="314B77"/>
          <w:sz w:val="30"/>
          <w:szCs w:val="30"/>
          <w:rtl/>
        </w:rPr>
        <w:t xml:space="preserve">אם יש לה זכות, הייתה תולה לה:  יש זכות תולה לה שנה אחת, יש זכות תולה שתי שנים, יש זכות תולה שלוש שנים.  </w:t>
      </w: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/>
          <w:color w:val="314B77"/>
          <w:sz w:val="30"/>
          <w:szCs w:val="30"/>
          <w:rtl/>
        </w:rPr>
        <w:t xml:space="preserve">מכאן אמר בן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עזאי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, חייב אדם ללמד את בתו תורה, שאם תשתה, תדע שהזכות תולה לה; </w:t>
      </w:r>
    </w:p>
    <w:p w:rsidR="00204DCE" w:rsidRDefault="00204DCE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/>
          <w:color w:val="314B77"/>
          <w:sz w:val="30"/>
          <w:szCs w:val="30"/>
          <w:rtl/>
        </w:rPr>
        <w:t>רבי אליעזר אומר, המלמד את בתו תורה, מלמדה תפלות</w:t>
      </w:r>
      <w:r>
        <w:rPr>
          <w:rFonts w:ascii="David" w:hAnsi="David" w:cs="David"/>
          <w:color w:val="314B77"/>
          <w:sz w:val="30"/>
          <w:szCs w:val="30"/>
        </w:rPr>
        <w:t>. </w:t>
      </w:r>
    </w:p>
    <w:p w:rsidR="00B60E67" w:rsidRDefault="00B60E67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B60E67" w:rsidRDefault="00B60E67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מקור מספר 2:</w:t>
      </w:r>
    </w:p>
    <w:p w:rsidR="005D2858" w:rsidRDefault="005D2858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גמרא מסכת סנהדרין דף צד עמוד ב:</w:t>
      </w:r>
    </w:p>
    <w:p w:rsidR="00B60E67" w:rsidRDefault="005D2858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א"ר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יצחק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נפחא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חובל עול של סנחריב מפני שמנו של חזקיהו שהיה דולק בבתי כנסיות ובבתי מדרשות מה עשה נעץ חרב על פתח בית המדרש ואמר כל מי שאינו עוסק בתורה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ידקר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בחרב זו בדקו מדן ועד באר שבע ולא מצאו עם הארץ מגבת ועד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אנטיפרס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ולא מצאו תינוק ותינוקת איש ואשה שלא היו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בקיאין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בהלכות טומאה וטהרה</w:t>
      </w:r>
      <w:r>
        <w:rPr>
          <w:rFonts w:ascii="David" w:hAnsi="David" w:cs="David" w:hint="cs"/>
          <w:color w:val="314B77"/>
          <w:sz w:val="30"/>
          <w:szCs w:val="30"/>
          <w:rtl/>
        </w:rPr>
        <w:t>.</w:t>
      </w:r>
    </w:p>
    <w:p w:rsidR="005D2858" w:rsidRDefault="005D2858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5D2858" w:rsidRDefault="005D2858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מקור מספר 3:</w:t>
      </w:r>
    </w:p>
    <w:p w:rsidR="005D2858" w:rsidRDefault="005D2858" w:rsidP="00261445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מסכת חגיגה דף ג עמוד א:</w:t>
      </w:r>
    </w:p>
    <w:p w:rsidR="005D2858" w:rsidRPr="00204DCE" w:rsidRDefault="005D2858" w:rsidP="005D2858">
      <w:pPr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/>
          <w:color w:val="314B77"/>
          <w:sz w:val="30"/>
          <w:szCs w:val="30"/>
          <w:rtl/>
        </w:rPr>
        <w:t>ת"ר מעשה ברבי יוחנן בן ברוקה ורבי אלעזר בן</w:t>
      </w:r>
      <w:r>
        <w:rPr>
          <w:rFonts w:ascii="David" w:hAnsi="David" w:cs="David"/>
          <w:color w:val="314B77"/>
          <w:sz w:val="30"/>
          <w:szCs w:val="30"/>
        </w:rPr>
        <w:t xml:space="preserve">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חסמא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שהלכו להקביל פני ר' יהושע בפקיעין אמר להם מה חידוש היה בבית המדרש היום אמרו לו תלמידיך אנו ומימיך אנו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שותין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אמר להם אף על פי כן אי אפשר לבית המדרש בלא חידוש שבת של מי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היתה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שבת של ר' אלעזר בן עזריה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היתה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ובמה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היתה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הגדה היום אמרו לו בפרשת הקהל ומה דרש בה</w:t>
      </w:r>
      <w:r>
        <w:rPr>
          <w:rFonts w:ascii="David" w:hAnsi="David" w:cs="David"/>
          <w:color w:val="314B77"/>
          <w:sz w:val="30"/>
          <w:szCs w:val="30"/>
        </w:rPr>
        <w:t xml:space="preserve"> (</w:t>
      </w:r>
      <w:hyperlink r:id="rId9" w:anchor="12" w:history="1">
        <w:r>
          <w:rPr>
            <w:rStyle w:val="Hyperlink"/>
            <w:rFonts w:ascii="David" w:hAnsi="David" w:cs="David"/>
            <w:sz w:val="30"/>
            <w:szCs w:val="30"/>
            <w:bdr w:val="none" w:sz="0" w:space="0" w:color="auto" w:frame="1"/>
            <w:rtl/>
          </w:rPr>
          <w:t>דברים לא</w:t>
        </w:r>
      </w:hyperlink>
      <w:r>
        <w:rPr>
          <w:rFonts w:ascii="David" w:hAnsi="David" w:cs="David"/>
          <w:color w:val="314B77"/>
          <w:sz w:val="30"/>
          <w:szCs w:val="30"/>
        </w:rPr>
        <w:t xml:space="preserve">) </w:t>
      </w:r>
      <w:r>
        <w:rPr>
          <w:rFonts w:ascii="David" w:hAnsi="David" w:cs="David"/>
          <w:color w:val="314B77"/>
          <w:sz w:val="30"/>
          <w:szCs w:val="30"/>
          <w:rtl/>
        </w:rPr>
        <w:t xml:space="preserve">הקהל את העם האנשים והנשים והטף אם אנשים באים ללמוד נשים באות לשמוע טף למה באין כדי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ליתן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שכר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למביאיהן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אמר להם מרגלית טובה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היתה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בידכם ובקשתם לאבדה ממני </w:t>
      </w:r>
    </w:p>
    <w:p w:rsidR="003A1814" w:rsidRDefault="00564478" w:rsidP="00564478">
      <w:pPr>
        <w:pStyle w:val="a3"/>
        <w:numPr>
          <w:ilvl w:val="0"/>
          <w:numId w:val="5"/>
        </w:numPr>
        <w:jc w:val="both"/>
        <w:rPr>
          <w:rFonts w:ascii="David" w:hAnsi="David" w:cs="David"/>
          <w:color w:val="314B77"/>
          <w:sz w:val="30"/>
          <w:szCs w:val="30"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lastRenderedPageBreak/>
        <w:t>במקורות הבאים ישנם מקורות שונים העוסקים בלימוד תורה לנשים.</w:t>
      </w:r>
    </w:p>
    <w:p w:rsid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  <w:r w:rsidRPr="00564478">
        <w:rPr>
          <w:rFonts w:ascii="David" w:hAnsi="David" w:cs="David" w:hint="cs"/>
          <w:color w:val="314B77"/>
          <w:sz w:val="30"/>
          <w:szCs w:val="30"/>
          <w:rtl/>
        </w:rPr>
        <w:t>ניתן לבחור את כל הקטעים או חלקים מהם.</w:t>
      </w:r>
    </w:p>
    <w:p w:rsid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אח"כ ניתן לחלק את הכתה לקבוצות ולתת מקור לכל קבוצה. משימת הקבוצה היא ללמוד את המקור, לסכם אותו ולהציגו בפני כל הכתה.</w:t>
      </w:r>
    </w:p>
    <w:p w:rsid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השאלות המרכזיות שיש לדון בהן לאור המקורות:</w:t>
      </w:r>
    </w:p>
    <w:p w:rsid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*האם מותר לנשים בזמנינו ללמוד תורה?</w:t>
      </w:r>
    </w:p>
    <w:p w:rsid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*האם זה רצוי?</w:t>
      </w:r>
    </w:p>
    <w:p w:rsid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  <w:r>
        <w:rPr>
          <w:rFonts w:ascii="David" w:hAnsi="David" w:cs="David" w:hint="cs"/>
          <w:color w:val="314B77"/>
          <w:sz w:val="30"/>
          <w:szCs w:val="30"/>
          <w:rtl/>
        </w:rPr>
        <w:t>*האם יש שינוי בדורנו לעומת דורות קודמים?</w:t>
      </w:r>
    </w:p>
    <w:p w:rsidR="00564478" w:rsidRPr="00564478" w:rsidRDefault="00564478" w:rsidP="00564478">
      <w:pPr>
        <w:ind w:left="360"/>
        <w:jc w:val="both"/>
        <w:rPr>
          <w:rFonts w:ascii="David" w:hAnsi="David" w:cs="David"/>
          <w:color w:val="314B77"/>
          <w:sz w:val="30"/>
          <w:szCs w:val="30"/>
          <w:rtl/>
        </w:rPr>
      </w:pPr>
    </w:p>
    <w:p w:rsidR="00564478" w:rsidRDefault="00564478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הרב מרדכי אליהו זצ"ל:</w:t>
      </w:r>
    </w:p>
    <w:p w:rsidR="00564478" w:rsidRDefault="00564478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 w:rsidRPr="00564478">
        <w:rPr>
          <w:rFonts w:ascii="David" w:hAnsi="David" w:cs="David"/>
          <w:b/>
          <w:bCs/>
          <w:color w:val="314B77"/>
          <w:sz w:val="30"/>
          <w:szCs w:val="30"/>
        </w:rPr>
        <w:t>file:///C:/Users/USER/Desktop/</w:t>
      </w:r>
      <w:r w:rsidRPr="00564478">
        <w:rPr>
          <w:rFonts w:ascii="David" w:hAnsi="David" w:cs="David"/>
          <w:b/>
          <w:bCs/>
          <w:color w:val="314B77"/>
          <w:sz w:val="30"/>
          <w:szCs w:val="30"/>
          <w:rtl/>
        </w:rPr>
        <w:t>שנהל%20תשעח/לימוד%20תורה%20לנשים%20_%20מרן%20הרב%20מרדכי%20אליהו.</w:t>
      </w:r>
      <w:r w:rsidRPr="00564478">
        <w:rPr>
          <w:rFonts w:ascii="David" w:hAnsi="David" w:cs="David"/>
          <w:b/>
          <w:bCs/>
          <w:color w:val="314B77"/>
          <w:sz w:val="30"/>
          <w:szCs w:val="30"/>
        </w:rPr>
        <w:t>html</w:t>
      </w:r>
      <w:r w:rsidRPr="00564478">
        <w:rPr>
          <w:rFonts w:ascii="David" w:hAnsi="David" w:cs="David"/>
          <w:b/>
          <w:bCs/>
          <w:color w:val="314B77"/>
          <w:sz w:val="30"/>
          <w:szCs w:val="30"/>
          <w:rtl/>
        </w:rPr>
        <w:cr/>
      </w:r>
    </w:p>
    <w:p w:rsidR="008D0552" w:rsidRDefault="008D0552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הרב יהודה </w:t>
      </w:r>
      <w:proofErr w:type="spellStart"/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זולדן</w:t>
      </w:r>
      <w:proofErr w:type="spellEnd"/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מפמ"ר תושב"ע </w:t>
      </w:r>
      <w:proofErr w:type="spellStart"/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בחמ"ד</w:t>
      </w:r>
      <w:proofErr w:type="spellEnd"/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:</w:t>
      </w:r>
    </w:p>
    <w:p w:rsidR="008D0552" w:rsidRDefault="00DC6937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hyperlink r:id="rId10" w:history="1">
        <w:r w:rsidR="008D0552" w:rsidRPr="009432A1">
          <w:rPr>
            <w:rStyle w:val="Hyperlink"/>
            <w:rFonts w:ascii="David" w:hAnsi="David" w:cs="David"/>
            <w:b/>
            <w:bCs/>
            <w:sz w:val="30"/>
            <w:szCs w:val="30"/>
          </w:rPr>
          <w:t>https://daf-yomi.com/DYItemDetails.aspx?itemId=1377</w:t>
        </w:r>
      </w:hyperlink>
    </w:p>
    <w:p w:rsidR="008D0552" w:rsidRPr="008D0552" w:rsidRDefault="008D0552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</w:p>
    <w:p w:rsidR="00151979" w:rsidRDefault="000C40FA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הרב </w:t>
      </w:r>
      <w:r w:rsidR="008D05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אליעזר </w:t>
      </w: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מלמד, פניני הלכה:</w:t>
      </w:r>
    </w:p>
    <w:p w:rsidR="000C40FA" w:rsidRDefault="00DC6937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hyperlink r:id="rId11" w:history="1">
        <w:r w:rsidR="000C40FA" w:rsidRPr="009432A1">
          <w:rPr>
            <w:rStyle w:val="Hyperlink"/>
            <w:rFonts w:ascii="David" w:hAnsi="David" w:cs="David"/>
            <w:b/>
            <w:bCs/>
            <w:sz w:val="30"/>
            <w:szCs w:val="30"/>
          </w:rPr>
          <w:t>file:///C:/Users/USER/Desktop/</w:t>
        </w:r>
        <w:r w:rsidR="000C40FA" w:rsidRPr="009432A1">
          <w:rPr>
            <w:rStyle w:val="Hyperlink"/>
            <w:rFonts w:ascii="David" w:hAnsi="David" w:cs="David"/>
            <w:b/>
            <w:bCs/>
            <w:sz w:val="30"/>
            <w:szCs w:val="30"/>
            <w:rtl/>
          </w:rPr>
          <w:t>שנהל%20תשעח/טז%20–%20לימוד%20תורה%20לנשים%20_%20פניני%20הלכה.</w:t>
        </w:r>
        <w:r w:rsidR="000C40FA" w:rsidRPr="009432A1">
          <w:rPr>
            <w:rStyle w:val="Hyperlink"/>
            <w:rFonts w:ascii="David" w:hAnsi="David" w:cs="David"/>
            <w:b/>
            <w:bCs/>
            <w:sz w:val="30"/>
            <w:szCs w:val="30"/>
          </w:rPr>
          <w:t>html</w:t>
        </w:r>
      </w:hyperlink>
    </w:p>
    <w:p w:rsidR="000C40FA" w:rsidRDefault="000C40FA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</w:p>
    <w:p w:rsidR="00564478" w:rsidRDefault="00564478" w:rsidP="008D0552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סקירה של הנושא</w:t>
      </w:r>
      <w:r w:rsidR="008D0552"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הרב גבי ברזל</w:t>
      </w: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>:</w:t>
      </w:r>
    </w:p>
    <w:p w:rsidR="00564478" w:rsidRDefault="00DC6937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hyperlink r:id="rId12" w:history="1">
        <w:r w:rsidR="00564478" w:rsidRPr="009432A1">
          <w:rPr>
            <w:rStyle w:val="Hyperlink"/>
            <w:rFonts w:ascii="David" w:hAnsi="David" w:cs="David"/>
            <w:b/>
            <w:bCs/>
            <w:sz w:val="30"/>
            <w:szCs w:val="30"/>
          </w:rPr>
          <w:t>file:///C:/Users/USER/Desktop/</w:t>
        </w:r>
        <w:r w:rsidR="00564478" w:rsidRPr="009432A1">
          <w:rPr>
            <w:rStyle w:val="Hyperlink"/>
            <w:rFonts w:ascii="David" w:hAnsi="David" w:cs="David"/>
            <w:b/>
            <w:bCs/>
            <w:sz w:val="30"/>
            <w:szCs w:val="30"/>
            <w:rtl/>
          </w:rPr>
          <w:t>שנהל%20תשעח/לימוד%20תורה%20לנשים%20_%20גבי%20ברזלי%20_%20מרכז%20יעקב%20הרצוג.</w:t>
        </w:r>
        <w:r w:rsidR="00564478" w:rsidRPr="009432A1">
          <w:rPr>
            <w:rStyle w:val="Hyperlink"/>
            <w:rFonts w:ascii="David" w:hAnsi="David" w:cs="David"/>
            <w:b/>
            <w:bCs/>
            <w:sz w:val="30"/>
            <w:szCs w:val="30"/>
          </w:rPr>
          <w:t>html</w:t>
        </w:r>
      </w:hyperlink>
    </w:p>
    <w:p w:rsidR="000C40FA" w:rsidRPr="000C40FA" w:rsidRDefault="00564478" w:rsidP="00906BC5">
      <w:pPr>
        <w:jc w:val="both"/>
        <w:rPr>
          <w:rFonts w:ascii="David" w:hAnsi="David" w:cs="David"/>
          <w:b/>
          <w:bCs/>
          <w:color w:val="314B77"/>
          <w:sz w:val="30"/>
          <w:szCs w:val="30"/>
          <w:rtl/>
        </w:rPr>
      </w:pPr>
      <w:r>
        <w:rPr>
          <w:rFonts w:ascii="David" w:hAnsi="David" w:cs="David" w:hint="cs"/>
          <w:b/>
          <w:bCs/>
          <w:color w:val="314B77"/>
          <w:sz w:val="30"/>
          <w:szCs w:val="30"/>
          <w:rtl/>
        </w:rPr>
        <w:t xml:space="preserve"> </w:t>
      </w:r>
    </w:p>
    <w:p w:rsidR="00E005AA" w:rsidRDefault="00E005AA" w:rsidP="00B16DF2">
      <w:pPr>
        <w:jc w:val="both"/>
        <w:rPr>
          <w:rtl/>
        </w:rPr>
      </w:pPr>
    </w:p>
    <w:sectPr w:rsidR="00E005AA" w:rsidSect="00C8664C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37" w:rsidRDefault="00DC6937" w:rsidP="00D55E52">
      <w:pPr>
        <w:spacing w:after="0" w:line="240" w:lineRule="auto"/>
      </w:pPr>
      <w:r>
        <w:separator/>
      </w:r>
    </w:p>
  </w:endnote>
  <w:endnote w:type="continuationSeparator" w:id="0">
    <w:p w:rsidR="00DC6937" w:rsidRDefault="00DC6937" w:rsidP="00D5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51318725"/>
      <w:docPartObj>
        <w:docPartGallery w:val="Page Numbers (Bottom of Page)"/>
        <w:docPartUnique/>
      </w:docPartObj>
    </w:sdtPr>
    <w:sdtEndPr/>
    <w:sdtContent>
      <w:p w:rsidR="00D55E52" w:rsidRDefault="00D55E52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8D0552" w:rsidRPr="008D0552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D55E52" w:rsidRDefault="00D55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37" w:rsidRDefault="00DC6937" w:rsidP="00D55E52">
      <w:pPr>
        <w:spacing w:after="0" w:line="240" w:lineRule="auto"/>
      </w:pPr>
      <w:r>
        <w:separator/>
      </w:r>
    </w:p>
  </w:footnote>
  <w:footnote w:type="continuationSeparator" w:id="0">
    <w:p w:rsidR="00DC6937" w:rsidRDefault="00DC6937" w:rsidP="00D5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5DA"/>
    <w:multiLevelType w:val="hybridMultilevel"/>
    <w:tmpl w:val="A3CE80F0"/>
    <w:lvl w:ilvl="0" w:tplc="8408B98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A57BB"/>
    <w:multiLevelType w:val="hybridMultilevel"/>
    <w:tmpl w:val="37CA95E2"/>
    <w:lvl w:ilvl="0" w:tplc="C1AEB39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548B1"/>
    <w:multiLevelType w:val="hybridMultilevel"/>
    <w:tmpl w:val="D180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00347"/>
    <w:multiLevelType w:val="hybridMultilevel"/>
    <w:tmpl w:val="4C62D59A"/>
    <w:lvl w:ilvl="0" w:tplc="A4722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F3C5C"/>
    <w:multiLevelType w:val="hybridMultilevel"/>
    <w:tmpl w:val="E24C05B4"/>
    <w:lvl w:ilvl="0" w:tplc="091CEE5A">
      <w:start w:val="1"/>
      <w:numFmt w:val="decimal"/>
      <w:lvlText w:val="%1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C5"/>
    <w:rsid w:val="000828FB"/>
    <w:rsid w:val="000C40FA"/>
    <w:rsid w:val="00151979"/>
    <w:rsid w:val="001D54E1"/>
    <w:rsid w:val="00204DCE"/>
    <w:rsid w:val="00261445"/>
    <w:rsid w:val="003A1814"/>
    <w:rsid w:val="00564478"/>
    <w:rsid w:val="005D2858"/>
    <w:rsid w:val="008D0552"/>
    <w:rsid w:val="00906BC5"/>
    <w:rsid w:val="00A946CF"/>
    <w:rsid w:val="00B16DF2"/>
    <w:rsid w:val="00B60E67"/>
    <w:rsid w:val="00B85949"/>
    <w:rsid w:val="00C8664C"/>
    <w:rsid w:val="00D55E52"/>
    <w:rsid w:val="00D80A11"/>
    <w:rsid w:val="00DC6937"/>
    <w:rsid w:val="00E005AA"/>
    <w:rsid w:val="00F16CDA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5611E-CF24-41C9-9D73-39377118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204DC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4D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k">
    <w:name w:val="psk"/>
    <w:basedOn w:val="a0"/>
    <w:rsid w:val="00906BC5"/>
  </w:style>
  <w:style w:type="character" w:styleId="Hyperlink">
    <w:name w:val="Hyperlink"/>
    <w:basedOn w:val="a0"/>
    <w:uiPriority w:val="99"/>
    <w:unhideWhenUsed/>
    <w:rsid w:val="00906BC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1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55E52"/>
  </w:style>
  <w:style w:type="paragraph" w:styleId="a6">
    <w:name w:val="footer"/>
    <w:basedOn w:val="a"/>
    <w:link w:val="a7"/>
    <w:uiPriority w:val="99"/>
    <w:unhideWhenUsed/>
    <w:rsid w:val="00D5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55E52"/>
  </w:style>
  <w:style w:type="character" w:customStyle="1" w:styleId="20">
    <w:name w:val="כותרת 2 תו"/>
    <w:basedOn w:val="a0"/>
    <w:link w:val="2"/>
    <w:uiPriority w:val="9"/>
    <w:rsid w:val="00204D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204D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204D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0C4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nJ-RswSkg&amp;t=2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USER/Desktop/&#1513;&#1504;&#1492;&#1500;%20&#1514;&#1513;&#1506;&#1495;/&#1500;&#1497;&#1502;&#1493;&#1491;%20&#1514;&#1493;&#1512;&#1492;%20&#1500;&#1504;&#1513;&#1497;&#1501;%20_%20&#1490;&#1489;&#1497;%20&#1489;&#1512;&#1494;&#1500;&#1497;%20_%20&#1502;&#1512;&#1499;&#1494;%20&#1497;&#1506;&#1511;&#1489;%20&#1492;&#1512;&#1510;&#1493;&#1490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USER/Desktop/&#1513;&#1504;&#1492;&#1500;%20&#1514;&#1513;&#1506;&#1495;/&#1496;&#1494;%20&#8211;%20&#1500;&#1497;&#1502;&#1493;&#1491;%20&#1514;&#1493;&#1512;&#1492;%20&#1500;&#1504;&#1513;&#1497;&#1501;%20_%20&#1508;&#1504;&#1497;&#1504;&#1497;%20&#1492;&#1500;&#1499;&#1492;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f-yomi.com/DYItemDetails.aspx?itemId=1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esh.snunit.k12.il/i/t/t053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66D4-89D5-4DB3-8F81-F40562BB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Yitzhak Blau</dc:creator>
  <cp:keywords/>
  <dc:description/>
  <cp:lastModifiedBy>נאור דיין</cp:lastModifiedBy>
  <cp:revision>2</cp:revision>
  <dcterms:created xsi:type="dcterms:W3CDTF">2018-09-07T06:47:00Z</dcterms:created>
  <dcterms:modified xsi:type="dcterms:W3CDTF">2018-09-07T06:47:00Z</dcterms:modified>
</cp:coreProperties>
</file>