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475"/>
        <w:tblGridChange w:id="0">
          <w:tblGrid>
            <w:gridCol w:w="3285"/>
            <w:gridCol w:w="5475"/>
          </w:tblGrid>
        </w:tblGridChange>
      </w:tblGrid>
      <w:tr>
        <w:trPr>
          <w:trHeight w:val="560" w:hRule="atLeast"/>
        </w:trPr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נושא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מצוות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הנכד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דף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ציטוט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היכן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חייב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אדם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ללמד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תורה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09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רב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יהודה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שמואל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כגון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זבולון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שלימדו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אבי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אביו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מקרא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ומשנה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ותלמוד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הלכות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ואגדות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מיתיבי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מקרא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מלמדו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משנה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רבא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מקרא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זו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תורה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!?</w:t>
            </w:r>
          </w:p>
          <w:p w:rsidR="00000000" w:rsidDel="00000000" w:rsidP="00000000" w:rsidRDefault="00000000" w:rsidRPr="00000000" w14:paraId="0000000B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כזבולון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כזבולון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כזבולון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שלמדו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אבי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אביו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כזבולון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דאילו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מקרא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משנה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ותלמוד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הלכות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ואגדות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ואילו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הכא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מקרא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לבד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ואבי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אביו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מיחייב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?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והתניא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4"/>
                <w:szCs w:val="24"/>
                <w:highlight w:val="white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דברים</w:t>
              </w:r>
            </w:hyperlink>
            <w:hyperlink r:id="rId7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יא</w:t>
              </w:r>
            </w:hyperlink>
            <w:hyperlink r:id="rId9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, </w:t>
              </w:r>
            </w:hyperlink>
            <w:hyperlink r:id="rId10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יט</w:t>
              </w:r>
            </w:hyperlink>
            <w:r w:rsidDel="00000000" w:rsidR="00000000" w:rsidRPr="00000000">
              <w:rPr>
                <w:rFonts w:ascii="Narkisim" w:cs="Narkisim" w:eastAsia="Narkisim" w:hAnsi="Narkisim"/>
                <w:color w:val="222222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ולמדתם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אותם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 -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ומה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מקיים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4"/>
                <w:szCs w:val="24"/>
                <w:highlight w:val="white"/>
                <w:rtl w:val="0"/>
              </w:rPr>
              <w:t xml:space="preserve">(</w:t>
            </w:r>
            <w:hyperlink r:id="rId11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דברים</w:t>
              </w:r>
            </w:hyperlink>
            <w:hyperlink r:id="rId12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ד</w:t>
              </w:r>
            </w:hyperlink>
            <w:hyperlink r:id="rId14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, </w:t>
              </w:r>
            </w:hyperlink>
            <w:hyperlink r:id="rId15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ט</w:t>
              </w:r>
            </w:hyperlink>
            <w:r w:rsidDel="00000000" w:rsidR="00000000" w:rsidRPr="00000000">
              <w:rPr>
                <w:rFonts w:ascii="Narkisim" w:cs="Narkisim" w:eastAsia="Narkisim" w:hAnsi="Narkisim"/>
                <w:color w:val="222222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והודעתם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לבניך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ולבני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 -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לומר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שכל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המלמד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תורה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מעלה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עליו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הכתוב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כאילו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ולבנו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ולבן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סוף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הדורות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." -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האי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תנא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דתניא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ולמדתם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אותם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 -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אלא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מנין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? </w:t>
            </w:r>
            <w:hyperlink r:id="rId16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8"/>
                  <w:szCs w:val="28"/>
                  <w:highlight w:val="white"/>
                  <w:u w:val="single"/>
                  <w:vertAlign w:val="superscript"/>
                  <w:rtl w:val="1"/>
                </w:rPr>
                <w:t xml:space="preserve">א</w:t>
              </w:r>
            </w:hyperlink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והודעתם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לבניך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ולבני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".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?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בנותיכם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ריב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כל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המלמד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תורה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מעלה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עליו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הכתוב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כאילו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קבלה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מהר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סיני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.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שנאמר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 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והודעתם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לבניך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ולבני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בניך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וסמיך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ליה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יום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אשר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עמדת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לפני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אלהיך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בחורב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"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3"/>
                <w:szCs w:val="23"/>
                <w:highlight w:val="white"/>
                <w:rtl w:val="0"/>
              </w:rPr>
              <w:t xml:space="preserve">(</w:t>
            </w:r>
            <w:hyperlink r:id="rId17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3"/>
                  <w:szCs w:val="23"/>
                  <w:highlight w:val="white"/>
                  <w:u w:val="single"/>
                  <w:rtl w:val="1"/>
                </w:rPr>
                <w:t xml:space="preserve">שם</w:t>
              </w:r>
            </w:hyperlink>
            <w:hyperlink r:id="rId18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3"/>
                  <w:szCs w:val="23"/>
                  <w:highlight w:val="white"/>
                  <w:u w:val="single"/>
                  <w:rtl w:val="1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3"/>
                  <w:szCs w:val="23"/>
                  <w:highlight w:val="white"/>
                  <w:u w:val="single"/>
                  <w:rtl w:val="1"/>
                </w:rPr>
                <w:t xml:space="preserve">ד</w:t>
              </w:r>
            </w:hyperlink>
            <w:hyperlink r:id="rId20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3"/>
                  <w:szCs w:val="23"/>
                  <w:highlight w:val="white"/>
                  <w:u w:val="single"/>
                  <w:rtl w:val="1"/>
                </w:rPr>
                <w:t xml:space="preserve">, </w:t>
              </w:r>
            </w:hyperlink>
            <w:hyperlink r:id="rId21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3"/>
                  <w:szCs w:val="23"/>
                  <w:highlight w:val="white"/>
                  <w:u w:val="single"/>
                  <w:rtl w:val="1"/>
                </w:rPr>
                <w:t xml:space="preserve">י</w:t>
              </w:r>
            </w:hyperlink>
            <w:r w:rsidDel="00000000" w:rsidR="00000000" w:rsidRPr="00000000">
              <w:rPr>
                <w:rFonts w:ascii="Narkisim" w:cs="Narkisim" w:eastAsia="Narkisim" w:hAnsi="Narkisim"/>
                <w:color w:val="222222"/>
                <w:sz w:val="23"/>
                <w:szCs w:val="23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bidi w:val="1"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נקודת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העומק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אבינר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פותח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נושא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המצוות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ביחס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לנכד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ללימוד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למצוות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שיעור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אבינר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בנושא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:"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מצוות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הסבא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הנכד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"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https://www.youtube.com/watch?v=nFiRgnO1Z8w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להרחיב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הדעת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לכיתה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קצת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להביא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אבינר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שיעור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מומלץ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בכיתה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לשמור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ניתן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שיעורי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בעקבות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הסרטון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18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ניתן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לחקור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בנושא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ולהביא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שלמד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לכיתה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הערות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חשובות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השיעור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שיעור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ישיבתי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ונועד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לתלמיד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תפיסה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אבינר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אמנם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מסביר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ובהיר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הפשט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</w:p>
        </w:tc>
      </w:tr>
      <w:tr>
        <w:trPr>
          <w:trHeight w:val="274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כללי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ברזל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1C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שרואים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ומוודאים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שמתאים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ולשיעור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להעביר</w:t>
            </w:r>
          </w:p>
          <w:p w:rsidR="00000000" w:rsidDel="00000000" w:rsidP="00000000" w:rsidRDefault="00000000" w:rsidRPr="00000000" w14:paraId="0000001E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מקרינים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לוודא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מחשב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ורמקולים</w:t>
            </w:r>
          </w:p>
          <w:p w:rsidR="00000000" w:rsidDel="00000000" w:rsidP="00000000" w:rsidRDefault="00000000" w:rsidRPr="00000000" w14:paraId="0000001F">
            <w:pPr>
              <w:bidi w:val="1"/>
              <w:spacing w:line="360" w:lineRule="auto"/>
              <w:ind w:left="360"/>
              <w:contextualSpacing w:val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·     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לשלוח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וסרטוני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למשל</w:t>
            </w:r>
            <w:hyperlink r:id="rId23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"http://viewpure.com/-ptnh9XMbzM?start=0&amp;end=0" </w:instrText>
              <w:fldChar w:fldCharType="separate"/>
            </w: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1"/>
              </w:rPr>
              <w:t xml:space="preserve">כך</w:t>
            </w:r>
          </w:p>
          <w:p w:rsidR="00000000" w:rsidDel="00000000" w:rsidP="00000000" w:rsidRDefault="00000000" w:rsidRPr="00000000" w14:paraId="00000020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להצגת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סרטונים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hyperlink r:id="rId24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bidi w:val="1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arkisim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.wikisource.org/wiki/%D7%93%D7%91%D7%A8%D7%99%D7%9D_%D7%93_%D7%99" TargetMode="External"/><Relationship Id="rId22" Type="http://schemas.openxmlformats.org/officeDocument/2006/relationships/hyperlink" Target="https://www.youtube.com/watch?v=nFiRgnO1Z8w" TargetMode="External"/><Relationship Id="rId21" Type="http://schemas.openxmlformats.org/officeDocument/2006/relationships/hyperlink" Target="https://he.wikisource.org/wiki/%D7%93%D7%91%D7%A8%D7%99%D7%9D_%D7%93_%D7%99" TargetMode="External"/><Relationship Id="rId24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23" Type="http://schemas.openxmlformats.org/officeDocument/2006/relationships/hyperlink" Target="http://viewpure.com/-ptnh9XMbzM?start=0&amp;end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.wikisource.org/wiki/%D7%93%D7%91%D7%A8%D7%99%D7%9D_%D7%99%D7%90_%D7%99%D7%98" TargetMode="External"/><Relationship Id="rId25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5" Type="http://schemas.openxmlformats.org/officeDocument/2006/relationships/styles" Target="styles.xml"/><Relationship Id="rId6" Type="http://schemas.openxmlformats.org/officeDocument/2006/relationships/hyperlink" Target="https://he.wikisource.org/wiki/%D7%93%D7%91%D7%A8%D7%99%D7%9D_%D7%99%D7%90_%D7%99%D7%98" TargetMode="External"/><Relationship Id="rId7" Type="http://schemas.openxmlformats.org/officeDocument/2006/relationships/hyperlink" Target="https://he.wikisource.org/wiki/%D7%93%D7%91%D7%A8%D7%99%D7%9D_%D7%99%D7%90_%D7%99%D7%98" TargetMode="External"/><Relationship Id="rId8" Type="http://schemas.openxmlformats.org/officeDocument/2006/relationships/hyperlink" Target="https://he.wikisource.org/wiki/%D7%93%D7%91%D7%A8%D7%99%D7%9D_%D7%99%D7%90_%D7%99%D7%98" TargetMode="External"/><Relationship Id="rId11" Type="http://schemas.openxmlformats.org/officeDocument/2006/relationships/hyperlink" Target="https://he.wikisource.org/wiki/%D7%93%D7%91%D7%A8%D7%99%D7%9D_%D7%93_%D7%98" TargetMode="External"/><Relationship Id="rId10" Type="http://schemas.openxmlformats.org/officeDocument/2006/relationships/hyperlink" Target="https://he.wikisource.org/wiki/%D7%93%D7%91%D7%A8%D7%99%D7%9D_%D7%99%D7%90_%D7%99%D7%98" TargetMode="External"/><Relationship Id="rId13" Type="http://schemas.openxmlformats.org/officeDocument/2006/relationships/hyperlink" Target="https://he.wikisource.org/wiki/%D7%93%D7%91%D7%A8%D7%99%D7%9D_%D7%93_%D7%98" TargetMode="External"/><Relationship Id="rId12" Type="http://schemas.openxmlformats.org/officeDocument/2006/relationships/hyperlink" Target="https://he.wikisource.org/wiki/%D7%93%D7%91%D7%A8%D7%99%D7%9D_%D7%93_%D7%98" TargetMode="External"/><Relationship Id="rId15" Type="http://schemas.openxmlformats.org/officeDocument/2006/relationships/hyperlink" Target="https://he.wikisource.org/wiki/%D7%93%D7%91%D7%A8%D7%99%D7%9D_%D7%93_%D7%98" TargetMode="External"/><Relationship Id="rId14" Type="http://schemas.openxmlformats.org/officeDocument/2006/relationships/hyperlink" Target="https://he.wikisource.org/wiki/%D7%93%D7%91%D7%A8%D7%99%D7%9D_%D7%93_%D7%98" TargetMode="External"/><Relationship Id="rId17" Type="http://schemas.openxmlformats.org/officeDocument/2006/relationships/hyperlink" Target="https://he.wikisource.org/wiki/%D7%93%D7%91%D7%A8%D7%99%D7%9D_%D7%93_%D7%99" TargetMode="External"/><Relationship Id="rId16" Type="http://schemas.openxmlformats.org/officeDocument/2006/relationships/hyperlink" Target="https://he.wikisource.org/wiki/%D7%A7%D7%99%D7%93%D7%95%D7%A9%D7%99%D7%9F_%D7%9C_%D7%90#fn_%D7%90" TargetMode="External"/><Relationship Id="rId19" Type="http://schemas.openxmlformats.org/officeDocument/2006/relationships/hyperlink" Target="https://he.wikisource.org/wiki/%D7%93%D7%91%D7%A8%D7%99%D7%9D_%D7%93_%D7%99" TargetMode="External"/><Relationship Id="rId18" Type="http://schemas.openxmlformats.org/officeDocument/2006/relationships/hyperlink" Target="https://he.wikisource.org/wiki/%D7%93%D7%91%D7%A8%D7%99%D7%9D_%D7%93_%D7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