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87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285"/>
        <w:gridCol w:w="5475"/>
        <w:tblGridChange w:id="0">
          <w:tblGrid>
            <w:gridCol w:w="3285"/>
            <w:gridCol w:w="5475"/>
          </w:tblGrid>
        </w:tblGridChange>
      </w:tblGrid>
      <w:tr>
        <w:trPr>
          <w:trHeight w:val="560" w:hRule="atLeast"/>
        </w:trPr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bdd6ee" w:space="0" w:sz="8" w:val="single"/>
              <w:left w:color="bdd6ee" w:space="0" w:sz="8" w:val="single"/>
              <w:bottom w:color="9cc2e5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נושא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טובה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דף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ציטוט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אומנות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9">
            <w:pPr>
              <w:shd w:fill="ffffff" w:val="clear"/>
              <w:bidi w:val="1"/>
              <w:spacing w:after="120" w:before="120" w:line="360" w:lineRule="auto"/>
              <w:contextualSpacing w:val="0"/>
              <w:jc w:val="both"/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מנלן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חזקיה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דאמר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קרא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קהלת</w:t>
              </w:r>
            </w:hyperlink>
            <w:hyperlink r:id="rId7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ט</w:t>
              </w:r>
            </w:hyperlink>
            <w:hyperlink r:id="rId9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, </w:t>
              </w:r>
            </w:hyperlink>
            <w:hyperlink r:id="rId10">
              <w:r w:rsidDel="00000000" w:rsidR="00000000" w:rsidRPr="00000000">
                <w:rPr>
                  <w:rFonts w:ascii="Narkisim" w:cs="Narkisim" w:eastAsia="Narkisim" w:hAnsi="Narkisim"/>
                  <w:color w:val="0b0080"/>
                  <w:sz w:val="24"/>
                  <w:szCs w:val="24"/>
                  <w:highlight w:val="white"/>
                  <w:u w:val="single"/>
                  <w:rtl w:val="1"/>
                </w:rPr>
                <w:t xml:space="preserve">ט</w:t>
              </w:r>
            </w:hyperlink>
            <w:r w:rsidDel="00000000" w:rsidR="00000000" w:rsidRPr="00000000">
              <w:rPr>
                <w:rFonts w:ascii="Narkisim" w:cs="Narkisim" w:eastAsia="Narkisim" w:hAnsi="Narkisim"/>
                <w:color w:val="222222"/>
                <w:sz w:val="24"/>
                <w:szCs w:val="24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ראה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חיים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עם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אשר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אהבת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ממש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כשם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להשיאו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אשה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אומנות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היא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כשם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שחייב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תורה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כך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חייב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ללמדו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אומנות</w:t>
            </w:r>
            <w:r w:rsidDel="00000000" w:rsidR="00000000" w:rsidRPr="00000000">
              <w:rPr>
                <w:rFonts w:ascii="Narkisim" w:cs="Narkisim" w:eastAsia="Narkisim" w:hAnsi="Narkisim"/>
                <w:color w:val="222222"/>
                <w:sz w:val="28"/>
                <w:szCs w:val="28"/>
                <w:highlight w:val="white"/>
                <w:rtl w:val="1"/>
              </w:rPr>
              <w:t xml:space="preserve">:</w:t>
            </w:r>
          </w:p>
          <w:p w:rsidR="00000000" w:rsidDel="00000000" w:rsidP="00000000" w:rsidRDefault="00000000" w:rsidRPr="00000000" w14:paraId="0000000A">
            <w:pPr>
              <w:bidi w:val="1"/>
              <w:spacing w:line="360" w:lineRule="auto"/>
              <w:contextualSpacing w:val="0"/>
              <w:jc w:val="both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נקודת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העומק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מכבדת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ומותרת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להסתכן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תאור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10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העבודות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הכי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מסוכנות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קישור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לסרטון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contextualSpacing w:val="0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https://www.youtube.com/watch?v=OqyQJ-Sj-rY&amp;list=PL1FzGTvXgh3Ap7HZBbRXAsnaxIMy_WS4T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אפשר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לעשות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עם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זה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באיזו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מהעבודות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הללו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היו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מוכנים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 </w:t>
            </w:r>
          </w:p>
          <w:p w:rsidR="00000000" w:rsidDel="00000000" w:rsidP="00000000" w:rsidRDefault="00000000" w:rsidRPr="00000000" w14:paraId="00000014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מותר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להיכנס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לסכנה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בשביל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? </w:t>
            </w:r>
          </w:p>
          <w:p w:rsidR="00000000" w:rsidDel="00000000" w:rsidP="00000000" w:rsidRDefault="00000000" w:rsidRPr="00000000" w14:paraId="00000015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באיזו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ירצו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ובאיזו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יעבדו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לעולם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.?  </w:t>
            </w:r>
          </w:p>
          <w:p w:rsidR="00000000" w:rsidDel="00000000" w:rsidP="00000000" w:rsidRDefault="00000000" w:rsidRPr="00000000" w14:paraId="00000016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האם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יש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שאסור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לעבוד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השו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"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הזה</w:t>
              </w:r>
            </w:hyperlink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הנשוא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מאוד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חשוב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בעיקר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בחופשות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נוער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הערות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חשובות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1"/>
              </w:rPr>
              <w:t xml:space="preserve">כל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מכבדת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את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בעליה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צריך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להיזהר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מלזלזל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מעבודה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שיכול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להיות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שאחד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ההורים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של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התלמידים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עובד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בה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. </w:t>
            </w:r>
          </w:p>
          <w:p w:rsidR="00000000" w:rsidDel="00000000" w:rsidP="00000000" w:rsidRDefault="00000000" w:rsidRPr="00000000" w14:paraId="00000019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0" w:hRule="atLeast"/>
        </w:trPr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bdd6ee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כללי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ברזל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:</w:t>
            </w:r>
          </w:p>
          <w:p w:rsidR="00000000" w:rsidDel="00000000" w:rsidP="00000000" w:rsidRDefault="00000000" w:rsidRPr="00000000" w14:paraId="0000001B">
            <w:pPr>
              <w:bidi w:val="1"/>
              <w:spacing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bdd6ee" w:space="0" w:sz="8" w:val="single"/>
              <w:bottom w:color="bdd6ee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מראים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לפני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שרואים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ומוודאים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שמתאים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ולשיעור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שאני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רוצה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להעביר</w:t>
            </w:r>
          </w:p>
          <w:p w:rsidR="00000000" w:rsidDel="00000000" w:rsidP="00000000" w:rsidRDefault="00000000" w:rsidRPr="00000000" w14:paraId="0000001D">
            <w:pPr>
              <w:bidi w:val="1"/>
              <w:spacing w:line="36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·       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אם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מקרינים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בכיתה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לוודא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מחשב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מקרן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ורמקולים</w:t>
            </w:r>
          </w:p>
          <w:p w:rsidR="00000000" w:rsidDel="00000000" w:rsidP="00000000" w:rsidRDefault="00000000" w:rsidRPr="00000000" w14:paraId="0000001E">
            <w:pPr>
              <w:bidi w:val="1"/>
              <w:spacing w:line="360" w:lineRule="auto"/>
              <w:ind w:left="360"/>
              <w:contextualSpacing w:val="0"/>
              <w:rPr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·        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לשלוח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בלי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וסרטוני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המשך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למשל</w:t>
            </w:r>
            <w:hyperlink r:id="rId14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r w:rsidDel="00000000" w:rsidR="00000000" w:rsidRPr="00000000">
              <w:fldChar w:fldCharType="begin"/>
              <w:instrText xml:space="preserve"> HYPERLINK "http://viewpure.com/-ptnh9XMbzM?start=0&amp;end=0" </w:instrText>
              <w:fldChar w:fldCharType="separate"/>
            </w:r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1"/>
              </w:rPr>
              <w:t xml:space="preserve">כך</w:t>
            </w:r>
          </w:p>
          <w:p w:rsidR="00000000" w:rsidDel="00000000" w:rsidP="00000000" w:rsidRDefault="00000000" w:rsidRPr="00000000" w14:paraId="0000001F">
            <w:pPr>
              <w:bidi w:val="1"/>
              <w:spacing w:line="36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מדריך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להצגת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סרטונים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ללא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פרסומות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hyperlink r:id="rId15">
              <w:r w:rsidDel="00000000" w:rsidR="00000000" w:rsidRPr="00000000">
                <w:rPr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1"/>
                </w:rPr>
                <w:t xml:space="preserve">כאן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bidi w:val="1"/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arkisim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OqyQJ-Sj-rY&amp;list=PL1FzGTvXgh3Ap7HZBbRXAsnaxIMy_WS4T" TargetMode="External"/><Relationship Id="rId10" Type="http://schemas.openxmlformats.org/officeDocument/2006/relationships/hyperlink" Target="https://he.wikisource.org/wiki/%D7%A7%D7%98%D7%92%D7%95%D7%A8%D7%99%D7%94:%D7%A7%D7%94%D7%9C%D7%AA_%D7%98_%D7%98" TargetMode="External"/><Relationship Id="rId13" Type="http://schemas.openxmlformats.org/officeDocument/2006/relationships/hyperlink" Target="https://www.kipa.co.il/%D7%A9%D7%90%D7%9C-%D7%90%D7%AA-%D7%94%D7%A8%D7%91/%D7%9C%D7%A2%D7%91%D7%95%D7%93-%D7%9B%D7%9E%D7%9C%D7%A6%D7%A8-%D7%91%D7%9E%D7%A1%D7%A2%D7%93%D7%94-%D7%9C%D7%90-%D7%9B%D7%A9%D7%A8%D7%94-%D7%95%D7%91%D7%97%D7%A0%D7%95%D7%AA-%D7%91%D7%92%D7%93%D7%99/" TargetMode="External"/><Relationship Id="rId12" Type="http://schemas.openxmlformats.org/officeDocument/2006/relationships/hyperlink" Target="https://www.kipa.co.il/%D7%A9%D7%90%D7%9C-%D7%90%D7%AA-%D7%94%D7%A8%D7%91/%D7%9C%D7%A2%D7%91%D7%95%D7%93-%D7%9B%D7%9E%D7%9C%D7%A6%D7%A8-%D7%91%D7%9E%D7%A1%D7%A2%D7%93%D7%94-%D7%9C%D7%90-%D7%9B%D7%A9%D7%A8%D7%94-%D7%95%D7%91%D7%97%D7%A0%D7%95%D7%AA-%D7%91%D7%92%D7%93%D7%99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source.org/wiki/%D7%A7%D7%98%D7%92%D7%95%D7%A8%D7%99%D7%94:%D7%A7%D7%94%D7%9C%D7%AA_%D7%98_%D7%98" TargetMode="External"/><Relationship Id="rId15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14" Type="http://schemas.openxmlformats.org/officeDocument/2006/relationships/hyperlink" Target="http://viewpure.com/-ptnh9XMbzM?start=0&amp;end=0" TargetMode="External"/><Relationship Id="rId16" Type="http://schemas.openxmlformats.org/officeDocument/2006/relationships/hyperlink" Target="https://digitalpedagogy.co/2016/10/22/watchkin-%D7%A6%D7%95%D7%A4%D7%99%D7%9D-%D7%91%D7%A1%D7%A8%D7%98%D7%95%D7%A0%D7%99-%D7%99%D7%95%D7%98%D7%99%D7%95%D7%91-%D7%9C%D7%9C%D7%90-%D7%94%D7%A4%D7%A8%D7%A2%D7%95%D7%AA/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A7%D7%98%D7%92%D7%95%D7%A8%D7%99%D7%94:%D7%A7%D7%94%D7%9C%D7%AA_%D7%98_%D7%98" TargetMode="External"/><Relationship Id="rId7" Type="http://schemas.openxmlformats.org/officeDocument/2006/relationships/hyperlink" Target="https://he.wikisource.org/wiki/%D7%A7%D7%98%D7%92%D7%95%D7%A8%D7%99%D7%94:%D7%A7%D7%94%D7%9C%D7%AA_%D7%98_%D7%98" TargetMode="External"/><Relationship Id="rId8" Type="http://schemas.openxmlformats.org/officeDocument/2006/relationships/hyperlink" Target="https://he.wikisource.org/wiki/%D7%A7%D7%98%D7%92%D7%95%D7%A8%D7%99%D7%94:%D7%A7%D7%94%D7%9C%D7%AA_%D7%98_%D7%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