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09" w:rsidRDefault="00A61809" w:rsidP="00A61809">
      <w:pPr>
        <w:jc w:val="both"/>
        <w:rPr>
          <w:rFonts w:cs="David"/>
          <w:rtl/>
        </w:rPr>
      </w:pPr>
      <w:r>
        <w:rPr>
          <w:rFonts w:cs="David"/>
          <w:rtl/>
        </w:rPr>
        <w:t>בס"ד</w:t>
      </w:r>
    </w:p>
    <w:p w:rsidR="00A61809" w:rsidRDefault="00A61809" w:rsidP="00A61809">
      <w:pPr>
        <w:jc w:val="center"/>
        <w:rPr>
          <w:rFonts w:cs="David"/>
          <w:b/>
          <w:bCs/>
          <w:w w:val="150"/>
          <w:rtl/>
        </w:rPr>
      </w:pPr>
    </w:p>
    <w:p w:rsidR="00A61809" w:rsidRPr="00A61809" w:rsidRDefault="00A61809" w:rsidP="00A61809">
      <w:pPr>
        <w:jc w:val="center"/>
        <w:rPr>
          <w:rFonts w:cs="David"/>
          <w:b/>
          <w:bCs/>
          <w:w w:val="150"/>
          <w:sz w:val="28"/>
          <w:szCs w:val="28"/>
          <w:u w:val="single"/>
          <w:rtl/>
        </w:rPr>
      </w:pPr>
      <w:r w:rsidRPr="00A61809">
        <w:rPr>
          <w:rFonts w:cs="David"/>
          <w:b/>
          <w:bCs/>
          <w:w w:val="150"/>
          <w:sz w:val="28"/>
          <w:szCs w:val="28"/>
          <w:u w:val="single"/>
          <w:rtl/>
        </w:rPr>
        <w:t xml:space="preserve">רבנן לא </w:t>
      </w:r>
      <w:proofErr w:type="spellStart"/>
      <w:r w:rsidRPr="00A61809">
        <w:rPr>
          <w:rFonts w:cs="David"/>
          <w:b/>
          <w:bCs/>
          <w:w w:val="150"/>
          <w:sz w:val="28"/>
          <w:szCs w:val="28"/>
          <w:u w:val="single"/>
          <w:rtl/>
        </w:rPr>
        <w:t>צריכי</w:t>
      </w:r>
      <w:proofErr w:type="spellEnd"/>
      <w:r w:rsidRPr="00A61809">
        <w:rPr>
          <w:rFonts w:cs="David"/>
          <w:b/>
          <w:bCs/>
          <w:w w:val="150"/>
          <w:sz w:val="28"/>
          <w:szCs w:val="28"/>
          <w:u w:val="single"/>
          <w:rtl/>
        </w:rPr>
        <w:t xml:space="preserve"> </w:t>
      </w:r>
      <w:proofErr w:type="spellStart"/>
      <w:r w:rsidRPr="00A61809">
        <w:rPr>
          <w:rFonts w:cs="David"/>
          <w:b/>
          <w:bCs/>
          <w:w w:val="150"/>
          <w:sz w:val="28"/>
          <w:szCs w:val="28"/>
          <w:u w:val="single"/>
          <w:rtl/>
        </w:rPr>
        <w:t>נטירותא</w:t>
      </w:r>
      <w:proofErr w:type="spellEnd"/>
      <w:r>
        <w:rPr>
          <w:rFonts w:cs="David" w:hint="cs"/>
          <w:b/>
          <w:bCs/>
          <w:w w:val="150"/>
          <w:sz w:val="28"/>
          <w:szCs w:val="28"/>
          <w:u w:val="single"/>
          <w:rtl/>
        </w:rPr>
        <w:t xml:space="preserve"> - </w:t>
      </w:r>
      <w:r w:rsidRPr="00A61809">
        <w:rPr>
          <w:rFonts w:cs="David"/>
          <w:b/>
          <w:bCs/>
          <w:w w:val="150"/>
          <w:sz w:val="28"/>
          <w:szCs w:val="28"/>
          <w:u w:val="single"/>
          <w:rtl/>
        </w:rPr>
        <w:t>העמדה</w:t>
      </w:r>
      <w:r w:rsidRPr="00A61809">
        <w:rPr>
          <w:rFonts w:cs="David" w:hint="cs"/>
          <w:b/>
          <w:bCs/>
          <w:w w:val="150"/>
          <w:sz w:val="28"/>
          <w:szCs w:val="28"/>
          <w:u w:val="single"/>
          <w:rtl/>
        </w:rPr>
        <w:t xml:space="preserve"> -</w:t>
      </w:r>
      <w:r>
        <w:rPr>
          <w:rFonts w:cs="David" w:hint="cs"/>
          <w:b/>
          <w:bCs/>
          <w:w w:val="150"/>
          <w:sz w:val="28"/>
          <w:szCs w:val="28"/>
          <w:u w:val="single"/>
          <w:rtl/>
        </w:rPr>
        <w:t xml:space="preserve"> דף עבודה לתלמיד</w:t>
      </w:r>
    </w:p>
    <w:p w:rsidR="00A61809" w:rsidRPr="00A61809" w:rsidRDefault="00A61809" w:rsidP="00A61809">
      <w:pPr>
        <w:jc w:val="both"/>
        <w:rPr>
          <w:rFonts w:cs="David"/>
          <w:sz w:val="28"/>
          <w:szCs w:val="28"/>
          <w:u w:val="single"/>
          <w:rtl/>
        </w:rPr>
      </w:pPr>
    </w:p>
    <w:p w:rsidR="00A61809" w:rsidRDefault="00A61809" w:rsidP="00A61809">
      <w:pPr>
        <w:jc w:val="both"/>
        <w:rPr>
          <w:rFonts w:cs="David"/>
          <w:i/>
          <w:iCs/>
          <w:sz w:val="28"/>
          <w:szCs w:val="28"/>
          <w:rtl/>
        </w:rPr>
      </w:pPr>
      <w:r>
        <w:rPr>
          <w:rFonts w:cs="David"/>
          <w:i/>
          <w:iCs/>
          <w:sz w:val="28"/>
          <w:szCs w:val="28"/>
          <w:rtl/>
        </w:rPr>
        <w:t xml:space="preserve">דף ז: "רבי יהודה נשיאה </w:t>
      </w:r>
      <w:proofErr w:type="spellStart"/>
      <w:r>
        <w:rPr>
          <w:rFonts w:cs="David"/>
          <w:i/>
          <w:iCs/>
          <w:sz w:val="28"/>
          <w:szCs w:val="28"/>
          <w:rtl/>
        </w:rPr>
        <w:t>רמא</w:t>
      </w:r>
      <w:proofErr w:type="spellEnd"/>
      <w:r>
        <w:rPr>
          <w:rFonts w:cs="David"/>
          <w:i/>
          <w:iCs/>
          <w:sz w:val="28"/>
          <w:szCs w:val="28"/>
          <w:rtl/>
        </w:rPr>
        <w:t xml:space="preserve"> </w:t>
      </w:r>
      <w:proofErr w:type="spellStart"/>
      <w:r>
        <w:rPr>
          <w:rFonts w:cs="David"/>
          <w:i/>
          <w:iCs/>
          <w:sz w:val="28"/>
          <w:szCs w:val="28"/>
          <w:rtl/>
        </w:rPr>
        <w:t>דשורא</w:t>
      </w:r>
      <w:proofErr w:type="spellEnd"/>
      <w:r>
        <w:rPr>
          <w:rFonts w:cs="David"/>
          <w:i/>
          <w:iCs/>
          <w:sz w:val="28"/>
          <w:szCs w:val="28"/>
          <w:rtl/>
        </w:rPr>
        <w:t xml:space="preserve"> אדרבנן...דף ח. רבנן לאו בני </w:t>
      </w:r>
      <w:proofErr w:type="spellStart"/>
      <w:r>
        <w:rPr>
          <w:rFonts w:cs="David"/>
          <w:i/>
          <w:iCs/>
          <w:sz w:val="28"/>
          <w:szCs w:val="28"/>
          <w:rtl/>
        </w:rPr>
        <w:t>מיפק</w:t>
      </w:r>
      <w:proofErr w:type="spellEnd"/>
      <w:r>
        <w:rPr>
          <w:rFonts w:cs="David"/>
          <w:i/>
          <w:iCs/>
          <w:sz w:val="28"/>
          <w:szCs w:val="28"/>
          <w:rtl/>
        </w:rPr>
        <w:t xml:space="preserve"> </w:t>
      </w:r>
      <w:proofErr w:type="spellStart"/>
      <w:r>
        <w:rPr>
          <w:rFonts w:cs="David"/>
          <w:i/>
          <w:iCs/>
          <w:sz w:val="28"/>
          <w:szCs w:val="28"/>
          <w:rtl/>
        </w:rPr>
        <w:t>באכלוזא</w:t>
      </w:r>
      <w:proofErr w:type="spellEnd"/>
      <w:r>
        <w:rPr>
          <w:rFonts w:cs="David"/>
          <w:i/>
          <w:iCs/>
          <w:sz w:val="28"/>
          <w:szCs w:val="28"/>
          <w:rtl/>
        </w:rPr>
        <w:t xml:space="preserve"> </w:t>
      </w:r>
      <w:proofErr w:type="spellStart"/>
      <w:r>
        <w:rPr>
          <w:rFonts w:cs="David"/>
          <w:i/>
          <w:iCs/>
          <w:sz w:val="28"/>
          <w:szCs w:val="28"/>
          <w:rtl/>
        </w:rPr>
        <w:t>נינהו</w:t>
      </w:r>
      <w:proofErr w:type="spellEnd"/>
      <w:r>
        <w:rPr>
          <w:rFonts w:cs="David"/>
          <w:i/>
          <w:iCs/>
          <w:sz w:val="28"/>
          <w:szCs w:val="28"/>
          <w:rtl/>
        </w:rPr>
        <w:t>".</w:t>
      </w:r>
    </w:p>
    <w:p w:rsidR="00A61809" w:rsidRDefault="00A61809" w:rsidP="00A61809">
      <w:pPr>
        <w:jc w:val="both"/>
        <w:rPr>
          <w:rFonts w:cs="David"/>
          <w:sz w:val="32"/>
          <w:szCs w:val="32"/>
          <w:u w:val="single"/>
          <w:rtl/>
        </w:rPr>
      </w:pPr>
    </w:p>
    <w:p w:rsidR="00A61809" w:rsidRDefault="00A61809" w:rsidP="00A61809">
      <w:pPr>
        <w:spacing w:line="360" w:lineRule="auto"/>
        <w:jc w:val="both"/>
        <w:rPr>
          <w:rFonts w:cs="David"/>
          <w:sz w:val="32"/>
          <w:szCs w:val="32"/>
          <w:u w:val="single"/>
          <w:rtl/>
        </w:rPr>
      </w:pPr>
      <w:r>
        <w:rPr>
          <w:rFonts w:cs="David"/>
          <w:sz w:val="32"/>
          <w:szCs w:val="32"/>
          <w:u w:val="single"/>
          <w:rtl/>
        </w:rPr>
        <w:t>מבוא</w:t>
      </w:r>
    </w:p>
    <w:p w:rsidR="00A61809" w:rsidRDefault="00A61809" w:rsidP="00A61809">
      <w:pPr>
        <w:spacing w:line="360" w:lineRule="auto"/>
        <w:jc w:val="both"/>
        <w:rPr>
          <w:rFonts w:cs="David"/>
          <w:rtl/>
        </w:rPr>
      </w:pPr>
      <w:r>
        <w:rPr>
          <w:rFonts w:cs="David"/>
          <w:rtl/>
        </w:rPr>
        <w:t xml:space="preserve">המשנה מלמדת אותנו שבני העיר </w:t>
      </w:r>
      <w:proofErr w:type="spellStart"/>
      <w:r>
        <w:rPr>
          <w:rFonts w:cs="David"/>
          <w:rtl/>
        </w:rPr>
        <w:t>מחוייבים</w:t>
      </w:r>
      <w:proofErr w:type="spellEnd"/>
      <w:r>
        <w:rPr>
          <w:rFonts w:cs="David"/>
          <w:rtl/>
        </w:rPr>
        <w:t xml:space="preserve"> להשתתף בהוצאות לבניית חומה לעיר כחלק מהגנת העיר "</w:t>
      </w:r>
      <w:proofErr w:type="spellStart"/>
      <w:r>
        <w:rPr>
          <w:rFonts w:cs="David"/>
          <w:rtl/>
        </w:rPr>
        <w:t>כופין</w:t>
      </w:r>
      <w:proofErr w:type="spellEnd"/>
      <w:r>
        <w:rPr>
          <w:rFonts w:cs="David"/>
          <w:rtl/>
        </w:rPr>
        <w:t xml:space="preserve"> אותו לבנות לעיר חומה </w:t>
      </w:r>
      <w:proofErr w:type="spellStart"/>
      <w:r>
        <w:rPr>
          <w:rFonts w:cs="David"/>
          <w:rtl/>
        </w:rPr>
        <w:t>ודלתים</w:t>
      </w:r>
      <w:proofErr w:type="spellEnd"/>
      <w:r>
        <w:rPr>
          <w:rFonts w:cs="David"/>
          <w:rtl/>
        </w:rPr>
        <w:t xml:space="preserve"> ובריח". בגמרא מבואר שמדובר בעיר הסמוכה לספר שצריכה את החומה להגנתה המרחבית.</w:t>
      </w:r>
    </w:p>
    <w:p w:rsidR="00A61809" w:rsidRDefault="00A61809" w:rsidP="00A61809">
      <w:pPr>
        <w:spacing w:line="360" w:lineRule="auto"/>
        <w:jc w:val="both"/>
        <w:rPr>
          <w:rFonts w:cs="David"/>
          <w:rtl/>
        </w:rPr>
      </w:pPr>
      <w:r>
        <w:rPr>
          <w:rFonts w:cs="David"/>
          <w:rtl/>
        </w:rPr>
        <w:t>במהלך לימוד הגמרא עולה השאלה האם גם חכמים חייבים להשתתף בתשלום מסים אלו או שאולי יש להם פטור מיוחד ממנו.</w:t>
      </w:r>
    </w:p>
    <w:p w:rsidR="00A61809" w:rsidRDefault="00A61809" w:rsidP="00A61809">
      <w:pPr>
        <w:spacing w:line="360" w:lineRule="auto"/>
        <w:jc w:val="both"/>
        <w:rPr>
          <w:rFonts w:cs="David"/>
          <w:rtl/>
        </w:rPr>
      </w:pPr>
      <w:r>
        <w:rPr>
          <w:rFonts w:cs="David"/>
          <w:rtl/>
        </w:rPr>
        <w:t>אגב דין זה אנו נחשפים לפטור נוסף ממס המלך, ויש להבין מה משמעותה של הרחבה זו.</w:t>
      </w:r>
    </w:p>
    <w:p w:rsidR="00A61809" w:rsidRDefault="00A61809" w:rsidP="00A61809">
      <w:pPr>
        <w:spacing w:line="360" w:lineRule="auto"/>
        <w:jc w:val="both"/>
        <w:rPr>
          <w:rFonts w:cs="David"/>
          <w:rtl/>
        </w:rPr>
      </w:pPr>
      <w:r>
        <w:rPr>
          <w:rFonts w:cs="David"/>
          <w:rtl/>
        </w:rPr>
        <w:t xml:space="preserve">אנו ננסה לברר את במהלך לימוד </w:t>
      </w:r>
      <w:proofErr w:type="spellStart"/>
      <w:r>
        <w:rPr>
          <w:rFonts w:cs="David"/>
          <w:rtl/>
        </w:rPr>
        <w:t>סוגיא</w:t>
      </w:r>
      <w:proofErr w:type="spellEnd"/>
      <w:r>
        <w:rPr>
          <w:rFonts w:cs="David"/>
          <w:rtl/>
        </w:rPr>
        <w:t xml:space="preserve"> זו בגמרא מה מקורו של פטור זה ומהותו, יחד עם זיהוי של חובות תשלומים מהם אין נפטרים </w:t>
      </w:r>
      <w:proofErr w:type="spellStart"/>
      <w:r>
        <w:rPr>
          <w:rFonts w:cs="David"/>
          <w:rtl/>
        </w:rPr>
        <w:t>התלמידי</w:t>
      </w:r>
      <w:proofErr w:type="spellEnd"/>
      <w:r>
        <w:rPr>
          <w:rFonts w:cs="David"/>
          <w:rtl/>
        </w:rPr>
        <w:t xml:space="preserve"> חכמים.</w:t>
      </w:r>
    </w:p>
    <w:p w:rsidR="00A61809" w:rsidRDefault="00A61809" w:rsidP="00A61809">
      <w:pPr>
        <w:spacing w:line="360" w:lineRule="auto"/>
        <w:jc w:val="both"/>
        <w:rPr>
          <w:rFonts w:cs="David"/>
          <w:rtl/>
        </w:rPr>
      </w:pPr>
    </w:p>
    <w:p w:rsidR="00A61809" w:rsidRDefault="00A61809" w:rsidP="00A61809">
      <w:pPr>
        <w:numPr>
          <w:ilvl w:val="0"/>
          <w:numId w:val="1"/>
        </w:numPr>
        <w:spacing w:line="360" w:lineRule="auto"/>
        <w:jc w:val="both"/>
        <w:rPr>
          <w:rFonts w:cs="David"/>
          <w:rtl/>
        </w:rPr>
      </w:pPr>
      <w:r>
        <w:rPr>
          <w:rFonts w:cs="David"/>
          <w:rtl/>
        </w:rPr>
        <w:t>זהה את הקשר שבין סוגייתנו לבין המשנה.</w:t>
      </w:r>
    </w:p>
    <w:p w:rsidR="00A61809" w:rsidRDefault="00A61809" w:rsidP="00A61809">
      <w:pPr>
        <w:numPr>
          <w:ilvl w:val="0"/>
          <w:numId w:val="1"/>
        </w:numPr>
        <w:spacing w:line="360" w:lineRule="auto"/>
        <w:jc w:val="both"/>
        <w:rPr>
          <w:rFonts w:cs="David"/>
        </w:rPr>
      </w:pPr>
      <w:r>
        <w:rPr>
          <w:rFonts w:cs="David"/>
          <w:rtl/>
        </w:rPr>
        <w:t>מיהם החכמים המשתתפים בדיון.</w:t>
      </w:r>
    </w:p>
    <w:p w:rsidR="00A61809" w:rsidRDefault="00A61809" w:rsidP="00A61809">
      <w:pPr>
        <w:numPr>
          <w:ilvl w:val="0"/>
          <w:numId w:val="1"/>
        </w:numPr>
        <w:spacing w:line="360" w:lineRule="auto"/>
        <w:jc w:val="both"/>
        <w:rPr>
          <w:rFonts w:cs="David"/>
        </w:rPr>
      </w:pPr>
      <w:r>
        <w:rPr>
          <w:rFonts w:cs="David"/>
          <w:rtl/>
        </w:rPr>
        <w:t>עיין במושגים להלן והעזר בהם להבנת פשט הגמרא.</w:t>
      </w:r>
    </w:p>
    <w:p w:rsidR="00A61809" w:rsidRDefault="00A61809" w:rsidP="00A61809">
      <w:pPr>
        <w:spacing w:line="360" w:lineRule="auto"/>
        <w:jc w:val="both"/>
        <w:rPr>
          <w:rFonts w:cs="David"/>
          <w:sz w:val="32"/>
          <w:szCs w:val="32"/>
          <w:u w:val="single"/>
        </w:rPr>
      </w:pPr>
      <w:r>
        <w:rPr>
          <w:rFonts w:cs="David"/>
          <w:sz w:val="32"/>
          <w:szCs w:val="32"/>
          <w:u w:val="single"/>
          <w:rtl/>
        </w:rPr>
        <w:t>מושגים</w:t>
      </w:r>
    </w:p>
    <w:p w:rsidR="00A61809" w:rsidRDefault="00A61809" w:rsidP="00A61809">
      <w:pPr>
        <w:spacing w:line="360" w:lineRule="auto"/>
        <w:jc w:val="both"/>
        <w:rPr>
          <w:rFonts w:cs="David"/>
          <w:rtl/>
        </w:rPr>
      </w:pPr>
      <w:r>
        <w:rPr>
          <w:rFonts w:cs="David"/>
          <w:b/>
          <w:bCs/>
          <w:rtl/>
        </w:rPr>
        <w:t xml:space="preserve">רבנן לא </w:t>
      </w:r>
      <w:proofErr w:type="spellStart"/>
      <w:r>
        <w:rPr>
          <w:rFonts w:cs="David"/>
          <w:b/>
          <w:bCs/>
          <w:rtl/>
        </w:rPr>
        <w:t>צריכי</w:t>
      </w:r>
      <w:proofErr w:type="spellEnd"/>
      <w:r>
        <w:rPr>
          <w:rFonts w:cs="David"/>
          <w:b/>
          <w:bCs/>
          <w:rtl/>
        </w:rPr>
        <w:t xml:space="preserve"> </w:t>
      </w:r>
      <w:proofErr w:type="spellStart"/>
      <w:r>
        <w:rPr>
          <w:rFonts w:cs="David"/>
          <w:b/>
          <w:bCs/>
          <w:rtl/>
        </w:rPr>
        <w:t>נטירותא</w:t>
      </w:r>
      <w:proofErr w:type="spellEnd"/>
      <w:r>
        <w:rPr>
          <w:rFonts w:cs="David"/>
          <w:b/>
          <w:bCs/>
          <w:rtl/>
        </w:rPr>
        <w:t xml:space="preserve">- </w:t>
      </w:r>
      <w:r>
        <w:rPr>
          <w:rFonts w:cs="David"/>
          <w:rtl/>
        </w:rPr>
        <w:t>רבנן אינן צריכים שמירה.</w:t>
      </w:r>
    </w:p>
    <w:p w:rsidR="00A61809" w:rsidRDefault="00A61809" w:rsidP="00A61809">
      <w:pPr>
        <w:spacing w:line="360" w:lineRule="auto"/>
        <w:jc w:val="both"/>
        <w:rPr>
          <w:rFonts w:cs="David"/>
          <w:rtl/>
        </w:rPr>
      </w:pPr>
      <w:proofErr w:type="spellStart"/>
      <w:r>
        <w:rPr>
          <w:rFonts w:cs="David"/>
          <w:b/>
          <w:bCs/>
          <w:rtl/>
        </w:rPr>
        <w:t>רמא</w:t>
      </w:r>
      <w:proofErr w:type="spellEnd"/>
      <w:r>
        <w:rPr>
          <w:rFonts w:cs="David"/>
          <w:b/>
          <w:bCs/>
          <w:rtl/>
        </w:rPr>
        <w:t xml:space="preserve"> </w:t>
      </w:r>
      <w:proofErr w:type="spellStart"/>
      <w:r>
        <w:rPr>
          <w:rFonts w:cs="David"/>
          <w:b/>
          <w:bCs/>
          <w:rtl/>
        </w:rPr>
        <w:t>דשורא</w:t>
      </w:r>
      <w:proofErr w:type="spellEnd"/>
      <w:r>
        <w:rPr>
          <w:rFonts w:cs="David"/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  <w:r>
        <w:rPr>
          <w:rFonts w:cs="David"/>
          <w:rtl/>
        </w:rPr>
        <w:t>הטיל יציאת חומת העיר [רש"י].</w:t>
      </w:r>
    </w:p>
    <w:p w:rsidR="00A61809" w:rsidRDefault="00A61809" w:rsidP="00A61809">
      <w:pPr>
        <w:spacing w:line="360" w:lineRule="auto"/>
        <w:jc w:val="both"/>
        <w:rPr>
          <w:rFonts w:cs="David"/>
          <w:b/>
          <w:bCs/>
          <w:rtl/>
        </w:rPr>
      </w:pPr>
      <w:proofErr w:type="spellStart"/>
      <w:r>
        <w:rPr>
          <w:rFonts w:cs="David"/>
          <w:b/>
          <w:bCs/>
          <w:rtl/>
        </w:rPr>
        <w:t>רמא</w:t>
      </w:r>
      <w:proofErr w:type="spellEnd"/>
      <w:r>
        <w:rPr>
          <w:rFonts w:cs="David"/>
          <w:b/>
          <w:bCs/>
          <w:rtl/>
        </w:rPr>
        <w:t xml:space="preserve"> </w:t>
      </w:r>
      <w:proofErr w:type="spellStart"/>
      <w:r>
        <w:rPr>
          <w:rFonts w:cs="David"/>
          <w:b/>
          <w:bCs/>
          <w:rtl/>
        </w:rPr>
        <w:t>כרגא</w:t>
      </w:r>
      <w:proofErr w:type="spellEnd"/>
      <w:r>
        <w:rPr>
          <w:rFonts w:cs="David"/>
          <w:b/>
          <w:bCs/>
          <w:rtl/>
        </w:rPr>
        <w:t xml:space="preserve">: </w:t>
      </w:r>
      <w:r>
        <w:rPr>
          <w:rFonts w:cs="David"/>
          <w:rtl/>
        </w:rPr>
        <w:t>הטיל מס גולגולת.</w:t>
      </w:r>
    </w:p>
    <w:p w:rsidR="00A61809" w:rsidRDefault="00A61809" w:rsidP="00A61809">
      <w:pPr>
        <w:spacing w:line="360" w:lineRule="auto"/>
        <w:jc w:val="both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 xml:space="preserve">מנת המלך - </w:t>
      </w:r>
      <w:r>
        <w:rPr>
          <w:rFonts w:cs="David"/>
          <w:rtl/>
        </w:rPr>
        <w:t>מגבת מסים של המלך [רש"י]</w:t>
      </w:r>
    </w:p>
    <w:p w:rsidR="00A61809" w:rsidRDefault="00A61809" w:rsidP="00A61809">
      <w:pPr>
        <w:spacing w:line="360" w:lineRule="auto"/>
        <w:jc w:val="both"/>
        <w:rPr>
          <w:rFonts w:cs="David"/>
          <w:b/>
          <w:bCs/>
          <w:rtl/>
        </w:rPr>
      </w:pPr>
      <w:proofErr w:type="spellStart"/>
      <w:r>
        <w:rPr>
          <w:rFonts w:cs="David"/>
          <w:b/>
          <w:bCs/>
          <w:rtl/>
        </w:rPr>
        <w:t>ארנונא</w:t>
      </w:r>
      <w:proofErr w:type="spellEnd"/>
      <w:r>
        <w:rPr>
          <w:rFonts w:cs="David"/>
          <w:b/>
          <w:bCs/>
          <w:rtl/>
        </w:rPr>
        <w:t xml:space="preserve"> – </w:t>
      </w:r>
      <w:r>
        <w:rPr>
          <w:rFonts w:cs="David"/>
          <w:rtl/>
        </w:rPr>
        <w:t>מעשר תבואות ובהמות מדי שנה בשנה. [רש"י]</w:t>
      </w:r>
      <w:r>
        <w:rPr>
          <w:rFonts w:cs="David"/>
          <w:b/>
          <w:bCs/>
          <w:rtl/>
        </w:rPr>
        <w:t xml:space="preserve"> </w:t>
      </w:r>
      <w:r>
        <w:rPr>
          <w:rFonts w:cs="Guttman Yad-Light" w:hint="cs"/>
          <w:b/>
          <w:bCs/>
          <w:sz w:val="20"/>
          <w:szCs w:val="20"/>
          <w:rtl/>
        </w:rPr>
        <w:t>נסה להיזכר אם המושג מוכר לך מתרבות ימינו?</w:t>
      </w:r>
    </w:p>
    <w:p w:rsidR="00A61809" w:rsidRDefault="00A61809" w:rsidP="00A61809">
      <w:pPr>
        <w:spacing w:line="360" w:lineRule="auto"/>
        <w:jc w:val="both"/>
        <w:rPr>
          <w:rFonts w:cs="David"/>
          <w:rtl/>
        </w:rPr>
      </w:pPr>
      <w:proofErr w:type="spellStart"/>
      <w:r>
        <w:rPr>
          <w:rFonts w:cs="David"/>
          <w:b/>
          <w:bCs/>
          <w:rtl/>
        </w:rPr>
        <w:t>כריא</w:t>
      </w:r>
      <w:proofErr w:type="spellEnd"/>
      <w:r>
        <w:rPr>
          <w:rFonts w:cs="David"/>
          <w:b/>
          <w:bCs/>
          <w:rtl/>
        </w:rPr>
        <w:t xml:space="preserve"> </w:t>
      </w:r>
      <w:proofErr w:type="spellStart"/>
      <w:r>
        <w:rPr>
          <w:rFonts w:cs="David"/>
          <w:b/>
          <w:bCs/>
          <w:rtl/>
        </w:rPr>
        <w:t>חדתא</w:t>
      </w:r>
      <w:proofErr w:type="spellEnd"/>
      <w:r>
        <w:rPr>
          <w:rFonts w:cs="David"/>
          <w:b/>
          <w:bCs/>
          <w:rtl/>
        </w:rPr>
        <w:t xml:space="preserve"> – </w:t>
      </w:r>
      <w:r>
        <w:rPr>
          <w:rFonts w:cs="David"/>
          <w:rtl/>
        </w:rPr>
        <w:t>כריית באר חדשה.</w:t>
      </w:r>
    </w:p>
    <w:p w:rsidR="00A61809" w:rsidRDefault="00A61809" w:rsidP="00A61809">
      <w:pPr>
        <w:spacing w:line="360" w:lineRule="auto"/>
        <w:jc w:val="both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 xml:space="preserve">לא </w:t>
      </w:r>
      <w:proofErr w:type="spellStart"/>
      <w:r>
        <w:rPr>
          <w:rFonts w:cs="David"/>
          <w:b/>
          <w:bCs/>
          <w:rtl/>
        </w:rPr>
        <w:t>מידויל</w:t>
      </w:r>
      <w:proofErr w:type="spellEnd"/>
      <w:r>
        <w:rPr>
          <w:rFonts w:cs="David"/>
          <w:b/>
          <w:bCs/>
          <w:rtl/>
        </w:rPr>
        <w:t xml:space="preserve"> - </w:t>
      </w:r>
      <w:r>
        <w:rPr>
          <w:rFonts w:cs="David"/>
          <w:rtl/>
        </w:rPr>
        <w:t>לא ימצאו בו מים [רש"י]</w:t>
      </w:r>
    </w:p>
    <w:p w:rsidR="00A61809" w:rsidRDefault="00A61809" w:rsidP="00A61809">
      <w:pPr>
        <w:spacing w:line="360" w:lineRule="auto"/>
        <w:jc w:val="both"/>
        <w:rPr>
          <w:rFonts w:cs="David"/>
          <w:rtl/>
        </w:rPr>
      </w:pPr>
      <w:r>
        <w:rPr>
          <w:rFonts w:cs="David"/>
          <w:b/>
          <w:bCs/>
          <w:rtl/>
        </w:rPr>
        <w:t xml:space="preserve">לאגלי </w:t>
      </w:r>
      <w:proofErr w:type="spellStart"/>
      <w:r>
        <w:rPr>
          <w:rFonts w:cs="David"/>
          <w:b/>
          <w:bCs/>
          <w:rtl/>
        </w:rPr>
        <w:t>גפא</w:t>
      </w:r>
      <w:proofErr w:type="spellEnd"/>
      <w:r>
        <w:rPr>
          <w:rFonts w:cs="David"/>
          <w:b/>
          <w:bCs/>
          <w:rtl/>
        </w:rPr>
        <w:t xml:space="preserve"> - </w:t>
      </w:r>
      <w:r>
        <w:rPr>
          <w:rFonts w:cs="David"/>
          <w:rtl/>
        </w:rPr>
        <w:t>לשערי חומות העיר להציב בהן דלתות. [רש"י]</w:t>
      </w:r>
    </w:p>
    <w:p w:rsidR="00A61809" w:rsidRDefault="00A61809" w:rsidP="00A61809">
      <w:pPr>
        <w:spacing w:line="360" w:lineRule="auto"/>
        <w:jc w:val="both"/>
        <w:rPr>
          <w:rFonts w:cs="David"/>
          <w:b/>
          <w:bCs/>
          <w:rtl/>
        </w:rPr>
      </w:pPr>
      <w:proofErr w:type="spellStart"/>
      <w:r>
        <w:rPr>
          <w:rFonts w:cs="David"/>
          <w:b/>
          <w:bCs/>
          <w:rtl/>
        </w:rPr>
        <w:t>לכריא</w:t>
      </w:r>
      <w:proofErr w:type="spellEnd"/>
      <w:r>
        <w:rPr>
          <w:rFonts w:cs="David"/>
          <w:b/>
          <w:bCs/>
          <w:rtl/>
        </w:rPr>
        <w:t xml:space="preserve"> </w:t>
      </w:r>
      <w:proofErr w:type="spellStart"/>
      <w:r>
        <w:rPr>
          <w:rFonts w:cs="David"/>
          <w:b/>
          <w:bCs/>
          <w:rtl/>
        </w:rPr>
        <w:t>פתיא</w:t>
      </w:r>
      <w:proofErr w:type="spellEnd"/>
      <w:r>
        <w:rPr>
          <w:rFonts w:cs="David"/>
          <w:b/>
          <w:bCs/>
          <w:rtl/>
        </w:rPr>
        <w:t xml:space="preserve"> - </w:t>
      </w:r>
      <w:r>
        <w:rPr>
          <w:rFonts w:cs="David"/>
          <w:rtl/>
        </w:rPr>
        <w:t>חפירת בור לשתות מים</w:t>
      </w:r>
      <w:r>
        <w:rPr>
          <w:rFonts w:cs="David"/>
          <w:b/>
          <w:bCs/>
          <w:rtl/>
        </w:rPr>
        <w:t>. [</w:t>
      </w:r>
      <w:proofErr w:type="spellStart"/>
      <w:r>
        <w:rPr>
          <w:rFonts w:cs="David"/>
          <w:b/>
          <w:bCs/>
          <w:rtl/>
        </w:rPr>
        <w:t>יעויין</w:t>
      </w:r>
      <w:proofErr w:type="spellEnd"/>
      <w:r>
        <w:rPr>
          <w:rFonts w:cs="David"/>
          <w:b/>
          <w:bCs/>
          <w:rtl/>
        </w:rPr>
        <w:t xml:space="preserve"> הרחבה ברש"י] </w:t>
      </w:r>
    </w:p>
    <w:p w:rsidR="00A61809" w:rsidRDefault="00A61809" w:rsidP="00A61809">
      <w:p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rtl/>
        </w:rPr>
        <w:t xml:space="preserve">נפקי </w:t>
      </w:r>
      <w:proofErr w:type="spellStart"/>
      <w:r>
        <w:rPr>
          <w:rFonts w:cs="David"/>
          <w:b/>
          <w:bCs/>
          <w:rtl/>
        </w:rPr>
        <w:t>באכלוזא</w:t>
      </w:r>
      <w:proofErr w:type="spellEnd"/>
      <w:r>
        <w:rPr>
          <w:rFonts w:cs="David"/>
          <w:b/>
          <w:bCs/>
          <w:rtl/>
        </w:rPr>
        <w:t xml:space="preserve"> – </w:t>
      </w:r>
      <w:r>
        <w:rPr>
          <w:rFonts w:cs="David"/>
          <w:rtl/>
        </w:rPr>
        <w:t>יוצאים בעצמם לחפירות.</w:t>
      </w:r>
    </w:p>
    <w:p w:rsidR="00A61809" w:rsidRDefault="00A61809" w:rsidP="00A61809">
      <w:pPr>
        <w:spacing w:line="360" w:lineRule="auto"/>
        <w:jc w:val="both"/>
        <w:rPr>
          <w:rFonts w:cs="David"/>
          <w:rtl/>
        </w:rPr>
      </w:pPr>
    </w:p>
    <w:p w:rsidR="00A61809" w:rsidRDefault="00A61809" w:rsidP="00A61809">
      <w:pPr>
        <w:numPr>
          <w:ilvl w:val="0"/>
          <w:numId w:val="1"/>
        </w:numPr>
        <w:spacing w:line="360" w:lineRule="auto"/>
        <w:jc w:val="both"/>
        <w:rPr>
          <w:rFonts w:cs="David"/>
        </w:rPr>
      </w:pPr>
      <w:r>
        <w:rPr>
          <w:rFonts w:cs="David"/>
          <w:rtl/>
        </w:rPr>
        <w:t xml:space="preserve">מהי המחלוקת המרכזית </w:t>
      </w:r>
      <w:proofErr w:type="spellStart"/>
      <w:r>
        <w:rPr>
          <w:rFonts w:cs="David"/>
          <w:rtl/>
        </w:rPr>
        <w:t>בסוגיא</w:t>
      </w:r>
      <w:proofErr w:type="spellEnd"/>
      <w:r>
        <w:rPr>
          <w:rFonts w:cs="David"/>
          <w:rtl/>
        </w:rPr>
        <w:t xml:space="preserve"> זו?</w:t>
      </w:r>
    </w:p>
    <w:p w:rsidR="00A61809" w:rsidRDefault="00A61809" w:rsidP="00A61809">
      <w:pPr>
        <w:numPr>
          <w:ilvl w:val="0"/>
          <w:numId w:val="1"/>
        </w:numPr>
        <w:spacing w:line="360" w:lineRule="auto"/>
        <w:jc w:val="both"/>
        <w:rPr>
          <w:rFonts w:cs="David"/>
        </w:rPr>
      </w:pPr>
      <w:r>
        <w:rPr>
          <w:rFonts w:cs="David"/>
          <w:rtl/>
        </w:rPr>
        <w:t>שים לב כיצד הדיון מתפתח למסים נוספים בדעתו של רב נחמן בר יצחק?</w:t>
      </w:r>
    </w:p>
    <w:p w:rsidR="00A61809" w:rsidRDefault="00A61809" w:rsidP="00A61809">
      <w:pPr>
        <w:numPr>
          <w:ilvl w:val="0"/>
          <w:numId w:val="1"/>
        </w:numPr>
        <w:spacing w:line="360" w:lineRule="auto"/>
        <w:jc w:val="both"/>
        <w:rPr>
          <w:rFonts w:cs="David"/>
        </w:rPr>
      </w:pPr>
      <w:r>
        <w:rPr>
          <w:rFonts w:cs="David"/>
          <w:rtl/>
        </w:rPr>
        <w:t>מה מוסיף רב יהודה לדיון? מה בין מס לבניית חומות, לדעת רב יהודה, שחכמים פטורים ממנו לבין מס לכריית באר מים שחכמים חייבים בו?</w:t>
      </w:r>
    </w:p>
    <w:p w:rsidR="005F228E" w:rsidRPr="00A61809" w:rsidRDefault="00A61809" w:rsidP="00A61809">
      <w:pPr>
        <w:numPr>
          <w:ilvl w:val="0"/>
          <w:numId w:val="1"/>
        </w:numPr>
        <w:spacing w:line="360" w:lineRule="auto"/>
        <w:jc w:val="both"/>
        <w:rPr>
          <w:rFonts w:cs="David"/>
        </w:rPr>
      </w:pPr>
      <w:r>
        <w:rPr>
          <w:rFonts w:cs="David"/>
          <w:rtl/>
        </w:rPr>
        <w:t>** שאלת רשות –פתח להעמקה</w:t>
      </w:r>
      <w:r>
        <w:rPr>
          <w:rFonts w:cs="David" w:hint="cs"/>
          <w:rtl/>
        </w:rPr>
        <w:t>:</w:t>
      </w:r>
      <w:r>
        <w:rPr>
          <w:rFonts w:cs="David"/>
          <w:rtl/>
        </w:rPr>
        <w:t xml:space="preserve"> האם אתה יכול לזהות </w:t>
      </w:r>
      <w:r>
        <w:rPr>
          <w:rFonts w:cs="David"/>
          <w:b/>
          <w:bCs/>
          <w:rtl/>
        </w:rPr>
        <w:t>הבדל בסיבת הדין</w:t>
      </w:r>
      <w:r>
        <w:rPr>
          <w:rFonts w:cs="David"/>
          <w:rtl/>
        </w:rPr>
        <w:t xml:space="preserve"> שרבנן אינם </w:t>
      </w:r>
      <w:bookmarkStart w:id="0" w:name="_GoBack"/>
      <w:bookmarkEnd w:id="0"/>
      <w:r>
        <w:rPr>
          <w:rFonts w:cs="David"/>
          <w:rtl/>
        </w:rPr>
        <w:t>צריכים שמירה, בין הלימוד מהמקור שמביא ר"ל למקור שמביא ר' יוחנן?</w:t>
      </w:r>
    </w:p>
    <w:sectPr w:rsidR="005F228E" w:rsidRPr="00A61809" w:rsidSect="00DF6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D0247"/>
    <w:multiLevelType w:val="hybridMultilevel"/>
    <w:tmpl w:val="09E4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09"/>
    <w:rsid w:val="005F228E"/>
    <w:rsid w:val="00945B40"/>
    <w:rsid w:val="00A61809"/>
    <w:rsid w:val="00D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7EA94-C382-4185-929B-5A84D1C4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1</cp:revision>
  <dcterms:created xsi:type="dcterms:W3CDTF">2018-01-11T16:01:00Z</dcterms:created>
  <dcterms:modified xsi:type="dcterms:W3CDTF">2018-01-11T16:04:00Z</dcterms:modified>
</cp:coreProperties>
</file>